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line="276" w:lineRule="auto" w:before="0"/>
        <w:jc w:val="center"/>
        <w:outlineLvl w:val="0"/>
      </w:pPr>
      <w:r>
        <w:rPr>
          <w:b w:val="1"/>
          <w:i w:val="0"/>
          <w:caps w:val="0"/>
          <w:color w:val="1F3864"/>
          <w:sz w:val="52"/>
          <w:szCs w:val="52"/>
        </w:rPr>
        <w:t>Riverside Community Food Bank</w:t>
      </w:r>
    </w:p>
    <w:p>
      <w:pPr>
        <w:pStyle w:val="Heading1"/>
        <w:spacing w:after="200" w:line="276" w:lineRule="auto" w:before="0"/>
        <w:jc w:val="center"/>
      </w:pPr>
      <w:r>
        <w:rPr>
          <w:b w:val="0"/>
          <w:i w:val="0"/>
          <w:caps w:val="0"/>
          <w:color w:val="757575"/>
          <w:sz w:val="32"/>
          <w:szCs w:val="32"/>
        </w:rPr>
        <w:t>2025 Annual Report</w:t>
      </w:r>
    </w:p>
    <w:p>
      <w:pPr>
        <w:pStyle w:val="Heading2"/>
        <w:spacing w:after="200" w:line="276" w:lineRule="auto" w:before="0"/>
      </w:pPr>
      <w:r>
        <w:rPr>
          <w:b w:val="1"/>
          <w:i w:val="0"/>
          <w:caps w:val="0"/>
          <w:sz w:val="32"/>
          <w:szCs w:val="32"/>
        </w:rPr>
        <w:t>A Message from Our Director</w:t>
      </w:r>
    </w:p>
    <w:p>
      <w:r>
        <w:rPr>
          <w:b w:val="0"/>
          <w:sz w:val="22"/>
        </w:rPr>
        <w:t>Thanks to 1,200 volunteers and our partner grocers, we served more meals this year than in any year since we opened. Every number in this report is a neighbor who did not go hungry.</w:t>
      </w:r>
    </w:p>
    <w:p>
      <w:pPr>
        <w:pStyle w:val="Heading2"/>
        <w:spacing w:after="200" w:line="276" w:lineRule="auto" w:before="0"/>
      </w:pPr>
      <w:r>
        <w:rPr>
          <w:b w:val="1"/>
          <w:i w:val="0"/>
          <w:caps w:val="0"/>
          <w:sz w:val="32"/>
          <w:szCs w:val="32"/>
        </w:rPr>
        <w:t>Our Impact</w:t>
      </w:r>
    </w:p>
    <w:p>
      <w:r>
        <w:drawing>
          <wp:inline xmlns:a="http://schemas.openxmlformats.org/drawingml/2006/main" xmlns:pic="http://schemas.openxmlformats.org/drawingml/2006/picture">
            <wp:extent cx="5029200" cy="2905760"/>
            <wp:docPr id="1" name="Picture 1" descr="Bar chart of meals served per year, in thousands, rising every year from 182 in 2021 to 214 in 2022, 251 in 2023, 297 in 2024 and 342 in 2025, nearly double the 2021 total."/>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029200" cy="2905760"/>
                    </a:xfrm>
                    <a:prstGeom prst="rect"/>
                  </pic:spPr>
                </pic:pic>
              </a:graphicData>
            </a:graphic>
          </wp:inline>
        </w:drawing>
      </w:r>
    </w:p>
    <w:p>
      <w:r>
        <w:rPr>
          <w:b w:val="0"/>
          <w:sz w:val="22"/>
        </w:rPr>
        <w:t>Highlights this year:</w:t>
      </w:r>
    </w:p>
    <w:p>
      <w:pPr>
        <w:numPr>
          <w:ilvl w:val="0"/>
          <w:numId w:val="10"/>
        </w:numPr>
      </w:pPr>
      <w:r>
        <w:rPr>
          <w:b w:val="0"/>
          <w:sz w:val="22"/>
        </w:rPr>
        <w:t>342,000 meals served across five counties</w:t>
      </w:r>
    </w:p>
    <w:p>
      <w:pPr>
        <w:numPr>
          <w:ilvl w:val="0"/>
          <w:numId w:val="10"/>
        </w:numPr>
      </w:pPr>
      <w:r>
        <w:rPr>
          <w:b w:val="0"/>
          <w:sz w:val="22"/>
        </w:rPr>
        <w:t>Two new mobile pantries for rural areas</w:t>
      </w:r>
    </w:p>
    <w:p>
      <w:pPr>
        <w:numPr>
          <w:ilvl w:val="0"/>
          <w:numId w:val="10"/>
        </w:numPr>
      </w:pPr>
      <w:r>
        <w:rPr>
          <w:b w:val="0"/>
          <w:sz w:val="22"/>
        </w:rPr>
        <w:t>A weekend backpack program for 640 students</w:t>
      </w:r>
    </w:p>
    <w:p>
      <w:pPr>
        <w:pStyle w:val="Heading2"/>
        <w:spacing w:after="200" w:line="276" w:lineRule="auto" w:before="0"/>
      </w:pPr>
      <w:r>
        <w:rPr>
          <w:b w:val="1"/>
          <w:i w:val="0"/>
          <w:caps w:val="0"/>
          <w:sz w:val="32"/>
          <w:szCs w:val="32"/>
        </w:rPr>
        <w:t>Where the Money Goes</w:t>
      </w:r>
    </w:p>
    <w:tbl>
      <w:tblPr>
        <w:tblStyle w:val="TableGrid"/>
        <w:tblW w:type="auto" w:w="0"/>
        <w:tblLook w:firstColumn="1" w:firstRow="1" w:lastColumn="0" w:lastRow="0" w:noHBand="0" w:noVBand="1" w:val="04A0"/>
        <w:tblCaption w:val="Where the Money Goes"/>
        <w:tblDescription w:val="2025 budget by program, showing the dollar amount and percentage share of the total each program receives. Programs are listed as row headers; budget and share are column headers."/>
      </w:tblPr>
      <w:tblGrid>
        <w:gridCol w:w="2880"/>
        <w:gridCol w:w="2880"/>
        <w:gridCol w:w="2880"/>
      </w:tblGrid>
      <w:tr>
        <w:trPr>
          <w:tblHeader/>
        </w:trPr>
        <w:tc>
          <w:tcPr>
            <w:tcW w:type="dxa" w:w="2880"/>
          </w:tcPr>
          <w:p>
            <w:r>
              <w:t>Program</w:t>
            </w:r>
          </w:p>
        </w:tc>
        <w:tc>
          <w:tcPr>
            <w:tcW w:type="dxa" w:w="2880"/>
          </w:tcPr>
          <w:p>
            <w:r>
              <w:t>2025 budget</w:t>
            </w:r>
          </w:p>
        </w:tc>
        <w:tc>
          <w:tcPr>
            <w:tcW w:type="dxa" w:w="2880"/>
          </w:tcPr>
          <w:p>
            <w:r>
              <w:t>Share</w:t>
            </w:r>
          </w:p>
        </w:tc>
      </w:tr>
      <w:tr>
        <w:tc>
          <w:tcPr>
            <w:tcW w:type="dxa" w:w="2880"/>
          </w:tcPr>
          <w:p>
            <w:r>
              <w:t>Food purchasing</w:t>
            </w:r>
          </w:p>
        </w:tc>
        <w:tc>
          <w:tcPr>
            <w:tcW w:type="dxa" w:w="2880"/>
          </w:tcPr>
          <w:p>
            <w:r>
              <w:t>$1,240,000</w:t>
            </w:r>
          </w:p>
        </w:tc>
        <w:tc>
          <w:tcPr>
            <w:tcW w:type="dxa" w:w="2880"/>
          </w:tcPr>
          <w:p>
            <w:r>
              <w:t>62%</w:t>
            </w:r>
          </w:p>
        </w:tc>
      </w:tr>
      <w:tr>
        <w:tc>
          <w:tcPr>
            <w:tcW w:type="dxa" w:w="2880"/>
          </w:tcPr>
          <w:p>
            <w:r>
              <w:t>Mobile pantries</w:t>
            </w:r>
          </w:p>
        </w:tc>
        <w:tc>
          <w:tcPr>
            <w:tcW w:type="dxa" w:w="2880"/>
          </w:tcPr>
          <w:p>
            <w:r>
              <w:t>$480,000</w:t>
            </w:r>
          </w:p>
        </w:tc>
        <w:tc>
          <w:tcPr>
            <w:tcW w:type="dxa" w:w="2880"/>
          </w:tcPr>
          <w:p>
            <w:r>
              <w:t>24%</w:t>
            </w:r>
          </w:p>
        </w:tc>
      </w:tr>
      <w:tr>
        <w:tc>
          <w:tcPr>
            <w:tcW w:type="dxa" w:w="2880"/>
          </w:tcPr>
          <w:p>
            <w:r>
              <w:t>Operations</w:t>
            </w:r>
          </w:p>
        </w:tc>
        <w:tc>
          <w:tcPr>
            <w:tcW w:type="dxa" w:w="2880"/>
          </w:tcPr>
          <w:p>
            <w:r>
              <w:t>$280,000</w:t>
            </w:r>
          </w:p>
        </w:tc>
        <w:tc>
          <w:tcPr>
            <w:tcW w:type="dxa" w:w="2880"/>
          </w:tcPr>
          <w:p>
            <w:r>
              <w:t>14%</w:t>
            </w:r>
          </w:p>
        </w:tc>
      </w:tr>
    </w:tbl>
    <w:p>
      <w:pPr>
        <w:pStyle w:val="Heading2"/>
        <w:spacing w:after="200" w:line="276" w:lineRule="auto" w:before="0"/>
      </w:pPr>
      <w:r>
        <w:rPr>
          <w:b w:val="1"/>
          <w:i w:val="0"/>
          <w:caps w:val="0"/>
          <w:sz w:val="32"/>
          <w:szCs w:val="32"/>
        </w:rPr>
        <w:t>Get Involved</w:t>
      </w:r>
    </w:p>
    <w:p>
      <w:r>
        <w:rPr>
          <w:b w:val="0"/>
          <w:sz w:val="22"/>
        </w:rPr>
        <w:t xml:space="preserve">To volunteer, </w:t>
      </w:r>
      <w:hyperlink r:id="rId10">
        <w:r>
          <w:rPr>
            <w:color w:val="0563C1"/>
            <w:u w:val="single"/>
          </w:rPr>
          <w:t>Volunteer (example.org)</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org/volunt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Riverside Community Food Bank 2025 Annual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