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609600</wp:posOffset>
            </wp:positionV>
            <wp:extent cx="1223963" cy="164241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963" cy="1642411"/>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   </w:t>
      </w:r>
      <w:r w:rsidDel="00000000" w:rsidR="00000000" w:rsidRPr="00000000">
        <w:rPr>
          <w:sz w:val="32"/>
          <w:szCs w:val="32"/>
          <w:rtl w:val="0"/>
        </w:rPr>
        <w:t xml:space="preserve">P</w:t>
      </w:r>
      <w:r w:rsidDel="00000000" w:rsidR="00000000" w:rsidRPr="00000000">
        <w:rPr>
          <w:rtl w:val="0"/>
        </w:rPr>
        <w:t xml:space="preserve">ONTIFICIA </w:t>
      </w:r>
      <w:r w:rsidDel="00000000" w:rsidR="00000000" w:rsidRPr="00000000">
        <w:rPr>
          <w:sz w:val="32"/>
          <w:szCs w:val="32"/>
          <w:rtl w:val="0"/>
        </w:rPr>
        <w:t xml:space="preserve">U</w:t>
      </w:r>
      <w:r w:rsidDel="00000000" w:rsidR="00000000" w:rsidRPr="00000000">
        <w:rPr>
          <w:rtl w:val="0"/>
        </w:rPr>
        <w:t xml:space="preserve">NIVERSIDAD </w:t>
      </w:r>
      <w:r w:rsidDel="00000000" w:rsidR="00000000" w:rsidRPr="00000000">
        <w:rPr>
          <w:sz w:val="32"/>
          <w:szCs w:val="32"/>
          <w:rtl w:val="0"/>
        </w:rPr>
        <w:t xml:space="preserve">C</w:t>
      </w:r>
      <w:r w:rsidDel="00000000" w:rsidR="00000000" w:rsidRPr="00000000">
        <w:rPr>
          <w:rtl w:val="0"/>
        </w:rPr>
        <w:t xml:space="preserve">ATÓLICA DE </w:t>
      </w:r>
      <w:r w:rsidDel="00000000" w:rsidR="00000000" w:rsidRPr="00000000">
        <w:rPr>
          <w:sz w:val="32"/>
          <w:szCs w:val="32"/>
          <w:rtl w:val="0"/>
        </w:rPr>
        <w:t xml:space="preserve">C</w:t>
      </w:r>
      <w:r w:rsidDel="00000000" w:rsidR="00000000" w:rsidRPr="00000000">
        <w:rPr>
          <w:rtl w:val="0"/>
        </w:rPr>
        <w:t xml:space="preserve">HILE</w:t>
      </w:r>
    </w:p>
    <w:p w:rsidR="00000000" w:rsidDel="00000000" w:rsidP="00000000" w:rsidRDefault="00000000" w:rsidRPr="00000000" w14:paraId="00000003">
      <w:pPr>
        <w:spacing w:line="276" w:lineRule="auto"/>
        <w:rPr/>
      </w:pPr>
      <w:r w:rsidDel="00000000" w:rsidR="00000000" w:rsidRPr="00000000">
        <w:rPr>
          <w:rtl w:val="0"/>
        </w:rPr>
        <w:t xml:space="preserve">   </w:t>
      </w:r>
      <w:r w:rsidDel="00000000" w:rsidR="00000000" w:rsidRPr="00000000">
        <w:rPr>
          <w:sz w:val="32"/>
          <w:szCs w:val="32"/>
          <w:rtl w:val="0"/>
        </w:rPr>
        <w:t xml:space="preserve">F</w:t>
      </w:r>
      <w:r w:rsidDel="00000000" w:rsidR="00000000" w:rsidRPr="00000000">
        <w:rPr>
          <w:rtl w:val="0"/>
        </w:rPr>
        <w:t xml:space="preserve">ACULTAD DE </w:t>
      </w:r>
      <w:r w:rsidDel="00000000" w:rsidR="00000000" w:rsidRPr="00000000">
        <w:rPr>
          <w:sz w:val="32"/>
          <w:szCs w:val="32"/>
          <w:rtl w:val="0"/>
        </w:rPr>
        <w:t xml:space="preserve">A</w:t>
      </w:r>
      <w:r w:rsidDel="00000000" w:rsidR="00000000" w:rsidRPr="00000000">
        <w:rPr>
          <w:rtl w:val="0"/>
        </w:rPr>
        <w:t xml:space="preserve">RTES</w:t>
      </w:r>
    </w:p>
    <w:p w:rsidR="00000000" w:rsidDel="00000000" w:rsidP="00000000" w:rsidRDefault="00000000" w:rsidRPr="00000000" w14:paraId="00000004">
      <w:pPr>
        <w:spacing w:line="276" w:lineRule="auto"/>
        <w:rPr/>
      </w:pPr>
      <w:r w:rsidDel="00000000" w:rsidR="00000000" w:rsidRPr="00000000">
        <w:rPr>
          <w:rtl w:val="0"/>
        </w:rPr>
        <w:t xml:space="preserve">   </w:t>
      </w:r>
      <w:r w:rsidDel="00000000" w:rsidR="00000000" w:rsidRPr="00000000">
        <w:rPr>
          <w:sz w:val="32"/>
          <w:szCs w:val="32"/>
          <w:rtl w:val="0"/>
        </w:rPr>
        <w:t xml:space="preserve">I</w:t>
      </w:r>
      <w:r w:rsidDel="00000000" w:rsidR="00000000" w:rsidRPr="00000000">
        <w:rPr>
          <w:rtl w:val="0"/>
        </w:rPr>
        <w:t xml:space="preserve">NSTITUTO DE </w:t>
      </w:r>
      <w:r w:rsidDel="00000000" w:rsidR="00000000" w:rsidRPr="00000000">
        <w:rPr>
          <w:sz w:val="32"/>
          <w:szCs w:val="32"/>
          <w:rtl w:val="0"/>
        </w:rPr>
        <w:t xml:space="preserve">M</w:t>
      </w:r>
      <w:r w:rsidDel="00000000" w:rsidR="00000000" w:rsidRPr="00000000">
        <w:rPr>
          <w:rtl w:val="0"/>
        </w:rPr>
        <w:t xml:space="preserve">ÚSICA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64"/>
          <w:szCs w:val="64"/>
        </w:rPr>
      </w:pPr>
      <w:r w:rsidDel="00000000" w:rsidR="00000000" w:rsidRPr="00000000">
        <w:rPr>
          <w:sz w:val="64"/>
          <w:szCs w:val="64"/>
          <w:rtl w:val="0"/>
        </w:rPr>
        <w:t xml:space="preserve">“Las Últimas Sinfonías de Mozart”</w:t>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Cierre con broche de oro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Curso:</w:t>
      </w:r>
      <w:r w:rsidDel="00000000" w:rsidR="00000000" w:rsidRPr="00000000">
        <w:rPr>
          <w:rtl w:val="0"/>
        </w:rPr>
        <w:tab/>
        <w:tab/>
        <w:tab/>
        <w:t xml:space="preserve">MUC1000-1 Apreciación de la Música en Vivo</w:t>
      </w:r>
    </w:p>
    <w:p w:rsidR="00000000" w:rsidDel="00000000" w:rsidP="00000000" w:rsidRDefault="00000000" w:rsidRPr="00000000" w14:paraId="00000017">
      <w:pPr>
        <w:rPr/>
      </w:pPr>
      <w:r w:rsidDel="00000000" w:rsidR="00000000" w:rsidRPr="00000000">
        <w:rPr>
          <w:b w:val="1"/>
          <w:rtl w:val="0"/>
        </w:rPr>
        <w:t xml:space="preserve">Nombre Autor:</w:t>
      </w:r>
      <w:r w:rsidDel="00000000" w:rsidR="00000000" w:rsidRPr="00000000">
        <w:rPr>
          <w:rtl w:val="0"/>
        </w:rPr>
        <w:t xml:space="preserve"> </w:t>
        <w:tab/>
        <w:t xml:space="preserve">Matías Duhalde</w:t>
      </w:r>
    </w:p>
    <w:p w:rsidR="00000000" w:rsidDel="00000000" w:rsidP="00000000" w:rsidRDefault="00000000" w:rsidRPr="00000000" w14:paraId="00000018">
      <w:pPr>
        <w:rPr/>
      </w:pPr>
      <w:r w:rsidDel="00000000" w:rsidR="00000000" w:rsidRPr="00000000">
        <w:rPr>
          <w:b w:val="1"/>
          <w:rtl w:val="0"/>
        </w:rPr>
        <w:t xml:space="preserve">Fecha Entrega:</w:t>
      </w:r>
      <w:r w:rsidDel="00000000" w:rsidR="00000000" w:rsidRPr="00000000">
        <w:rPr>
          <w:rtl w:val="0"/>
        </w:rPr>
        <w:t xml:space="preserve"> </w:t>
        <w:tab/>
        <w:t xml:space="preserve">05/11/2021</w:t>
      </w:r>
    </w:p>
    <w:p w:rsidR="00000000" w:rsidDel="00000000" w:rsidP="00000000" w:rsidRDefault="00000000" w:rsidRPr="00000000" w14:paraId="00000019">
      <w:pPr>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t xml:space="preserve">El concierto </w:t>
      </w:r>
      <w:r w:rsidDel="00000000" w:rsidR="00000000" w:rsidRPr="00000000">
        <w:rPr>
          <w:b w:val="1"/>
          <w:rtl w:val="0"/>
        </w:rPr>
        <w:t xml:space="preserve">Las Sinfonías Finales de Mozart (Mozart’s Final Symphonies)</w:t>
      </w:r>
      <w:r w:rsidDel="00000000" w:rsidR="00000000" w:rsidRPr="00000000">
        <w:rPr>
          <w:rtl w:val="0"/>
        </w:rPr>
        <w:t xml:space="preserve"> transcurre en el </w:t>
      </w:r>
      <w:r w:rsidDel="00000000" w:rsidR="00000000" w:rsidRPr="00000000">
        <w:rPr>
          <w:b w:val="1"/>
          <w:rtl w:val="0"/>
        </w:rPr>
        <w:t xml:space="preserve">De Doelen Concert Hall, Rotterdam</w:t>
      </w:r>
      <w:r w:rsidDel="00000000" w:rsidR="00000000" w:rsidRPr="00000000">
        <w:rPr>
          <w:rtl w:val="0"/>
        </w:rPr>
        <w:t xml:space="preserve">, en el año 2010, y tal como sugiere su título, se presentan las últimas tres sinfonías compuestas por </w:t>
      </w:r>
      <w:r w:rsidDel="00000000" w:rsidR="00000000" w:rsidRPr="00000000">
        <w:rPr>
          <w:b w:val="1"/>
          <w:rtl w:val="0"/>
        </w:rPr>
        <w:t xml:space="preserve">Wolfgang Amadeus Mozart</w:t>
      </w:r>
      <w:r w:rsidDel="00000000" w:rsidR="00000000" w:rsidRPr="00000000">
        <w:rPr>
          <w:rtl w:val="0"/>
        </w:rPr>
        <w:t xml:space="preserve">, en los últimos años de su vida, interpretadas por la </w:t>
      </w:r>
      <w:r w:rsidDel="00000000" w:rsidR="00000000" w:rsidRPr="00000000">
        <w:rPr>
          <w:b w:val="1"/>
          <w:rtl w:val="0"/>
        </w:rPr>
        <w:t xml:space="preserve">Orquesta del Siglo XVIII</w:t>
      </w:r>
      <w:r w:rsidDel="00000000" w:rsidR="00000000" w:rsidRPr="00000000">
        <w:rPr>
          <w:rtl w:val="0"/>
        </w:rPr>
        <w:t xml:space="preserve"> y el director </w:t>
      </w:r>
      <w:r w:rsidDel="00000000" w:rsidR="00000000" w:rsidRPr="00000000">
        <w:rPr>
          <w:b w:val="1"/>
          <w:rtl w:val="0"/>
        </w:rPr>
        <w:t xml:space="preserve">Frans Brüggen</w:t>
      </w:r>
      <w:r w:rsidDel="00000000" w:rsidR="00000000" w:rsidRPr="00000000">
        <w:rPr>
          <w:rtl w:val="0"/>
        </w:rPr>
        <w:t xml:space="preserve">.</w:t>
      </w:r>
    </w:p>
    <w:p w:rsidR="00000000" w:rsidDel="00000000" w:rsidP="00000000" w:rsidRDefault="00000000" w:rsidRPr="00000000" w14:paraId="0000001B">
      <w:pPr>
        <w:spacing w:after="200" w:lineRule="auto"/>
        <w:rPr/>
      </w:pPr>
      <w:r w:rsidDel="00000000" w:rsidR="00000000" w:rsidRPr="00000000">
        <w:rPr>
          <w:rtl w:val="0"/>
        </w:rPr>
        <w:t xml:space="preserve">El salón </w:t>
      </w:r>
      <w:r w:rsidDel="00000000" w:rsidR="00000000" w:rsidRPr="00000000">
        <w:rPr>
          <w:b w:val="1"/>
          <w:rtl w:val="0"/>
        </w:rPr>
        <w:t xml:space="preserve">De Doelen</w:t>
      </w:r>
      <w:r w:rsidDel="00000000" w:rsidR="00000000" w:rsidRPr="00000000">
        <w:rPr>
          <w:rtl w:val="0"/>
        </w:rPr>
        <w:t xml:space="preserve">, si bien es bastante grande y admite una alta cantidad de asistentes, no usa amplificación electrónica durante la obra. En su lugar, se pueden apreciar características especiales en las superficies del teatro (techo y paredes), que permiten generar una amplificación “natural” del sonido, llegando de manera clara a todos los espectadores. El escenario sobre el cual se dispone la orquesta está posicionado en una plataforma hundida justo al centro del público que la rodea.</w:t>
      </w:r>
    </w:p>
    <w:p w:rsidR="00000000" w:rsidDel="00000000" w:rsidP="00000000" w:rsidRDefault="00000000" w:rsidRPr="00000000" w14:paraId="0000001C">
      <w:pPr>
        <w:spacing w:after="200" w:lineRule="auto"/>
        <w:rPr/>
      </w:pPr>
      <w:r w:rsidDel="00000000" w:rsidR="00000000" w:rsidRPr="00000000">
        <w:rPr>
          <w:rtl w:val="0"/>
        </w:rPr>
        <w:t xml:space="preserve">Durante gran parte de la obra, la conducción de Frans Brüggen se percibe como delicada, calmada, y sutil, manteniéndose generalmente sentado y en una posición más o menos encorvada, pero a la vez con un sentimiento firme y asertivo, lo cual es atribuíble tanto a su edad como su experiencia. Esta forma de dirigir puede resultar contrastante con la alta energía que presenta el concierto, pero también es indicativo de un alto grado de confianza con su orquesta, y bastante trabajo por detrás en las sesiones de ensayo. En ocasiones se puede notar un aumento en la velocidad de los gestos, principalmente en el último movimiento de la sinfonía 40, y el primero de la 41, que corresponden a las secciones con mayor tempo.</w:t>
      </w:r>
    </w:p>
    <w:p w:rsidR="00000000" w:rsidDel="00000000" w:rsidP="00000000" w:rsidRDefault="00000000" w:rsidRPr="00000000" w14:paraId="0000001D">
      <w:pPr>
        <w:spacing w:after="200" w:lineRule="auto"/>
        <w:rPr/>
      </w:pPr>
      <w:r w:rsidDel="00000000" w:rsidR="00000000" w:rsidRPr="00000000">
        <w:rPr>
          <w:rtl w:val="0"/>
        </w:rPr>
        <w:t xml:space="preserve">La obra comienza al minuto </w:t>
      </w:r>
      <w:hyperlink r:id="rId7">
        <w:r w:rsidDel="00000000" w:rsidR="00000000" w:rsidRPr="00000000">
          <w:rPr>
            <w:color w:val="1155cc"/>
            <w:u w:val="single"/>
            <w:rtl w:val="0"/>
          </w:rPr>
          <w:t xml:space="preserve">1:26</w:t>
        </w:r>
      </w:hyperlink>
      <w:r w:rsidDel="00000000" w:rsidR="00000000" w:rsidRPr="00000000">
        <w:rPr>
          <w:rtl w:val="0"/>
        </w:rPr>
        <w:t xml:space="preserve">, con el primer movimiento de la </w:t>
      </w:r>
      <w:r w:rsidDel="00000000" w:rsidR="00000000" w:rsidRPr="00000000">
        <w:rPr>
          <w:b w:val="1"/>
          <w:rtl w:val="0"/>
        </w:rPr>
        <w:t xml:space="preserve">Sinfonía No. 39 de Mozart, I Adagio - Allegro</w:t>
      </w:r>
      <w:r w:rsidDel="00000000" w:rsidR="00000000" w:rsidRPr="00000000">
        <w:rPr>
          <w:rtl w:val="0"/>
        </w:rPr>
        <w:t xml:space="preserve">. El movimiento presenta una estructura en forma sonata, siguiendo la estructura característica de esta. Parte de manera potente con Mi mayor, casi de manera explosiva, captando inmediatamente la atención de los auditores, y evocando sentimientos de grandeza y majestuosidad. La introducción da lugar a la exposición aproximadamente al minuto </w:t>
      </w:r>
      <w:hyperlink r:id="rId8">
        <w:r w:rsidDel="00000000" w:rsidR="00000000" w:rsidRPr="00000000">
          <w:rPr>
            <w:color w:val="1155cc"/>
            <w:u w:val="single"/>
            <w:rtl w:val="0"/>
          </w:rPr>
          <w:t xml:space="preserve">3:56</w:t>
        </w:r>
      </w:hyperlink>
      <w:r w:rsidDel="00000000" w:rsidR="00000000" w:rsidRPr="00000000">
        <w:rPr>
          <w:rtl w:val="0"/>
        </w:rPr>
        <w:t xml:space="preserve">, donde se empieza a exponer el motivo principal del movimiento, partiendo lento y de manera alternada entre cuerdas y vientos, hasta el minuto </w:t>
      </w:r>
      <w:hyperlink r:id="rId9">
        <w:r w:rsidDel="00000000" w:rsidR="00000000" w:rsidRPr="00000000">
          <w:rPr>
            <w:color w:val="1155cc"/>
            <w:u w:val="single"/>
            <w:rtl w:val="0"/>
          </w:rPr>
          <w:t xml:space="preserve">4:32</w:t>
        </w:r>
      </w:hyperlink>
      <w:r w:rsidDel="00000000" w:rsidR="00000000" w:rsidRPr="00000000">
        <w:rPr>
          <w:rtl w:val="0"/>
        </w:rPr>
        <w:t xml:space="preserve">, donde se desatan todos los instrumentos al mismo tiempo. Se añade más al primer motivo, volviendo también a usar las escalas descendientes expuestas en la introducción. En </w:t>
      </w:r>
      <w:hyperlink r:id="rId10">
        <w:r w:rsidDel="00000000" w:rsidR="00000000" w:rsidRPr="00000000">
          <w:rPr>
            <w:color w:val="1155cc"/>
            <w:u w:val="single"/>
            <w:rtl w:val="0"/>
          </w:rPr>
          <w:t xml:space="preserve">6:00</w:t>
        </w:r>
      </w:hyperlink>
      <w:r w:rsidDel="00000000" w:rsidR="00000000" w:rsidRPr="00000000">
        <w:rPr>
          <w:rtl w:val="0"/>
        </w:rPr>
        <w:t xml:space="preserve">, se introduce otro motivo distinto, para completar un esquema AB (o más bien AA’B), para comenzar a transicionar al desarrollo en el minuto </w:t>
      </w:r>
      <w:hyperlink r:id="rId11">
        <w:r w:rsidDel="00000000" w:rsidR="00000000" w:rsidRPr="00000000">
          <w:rPr>
            <w:color w:val="1155cc"/>
            <w:u w:val="single"/>
            <w:rtl w:val="0"/>
          </w:rPr>
          <w:t xml:space="preserve">7:00</w:t>
        </w:r>
      </w:hyperlink>
      <w:r w:rsidDel="00000000" w:rsidR="00000000" w:rsidRPr="00000000">
        <w:rPr>
          <w:rtl w:val="0"/>
        </w:rPr>
        <w:t xml:space="preserve">, donde se recogen elementos de ambos temas, generando contrastes entre estos al realizar cambios frecuentes y consecutivos. Al minuto </w:t>
      </w:r>
      <w:hyperlink r:id="rId12">
        <w:r w:rsidDel="00000000" w:rsidR="00000000" w:rsidRPr="00000000">
          <w:rPr>
            <w:color w:val="1155cc"/>
            <w:u w:val="single"/>
            <w:rtl w:val="0"/>
          </w:rPr>
          <w:t xml:space="preserve">9:45</w:t>
        </w:r>
      </w:hyperlink>
      <w:r w:rsidDel="00000000" w:rsidR="00000000" w:rsidRPr="00000000">
        <w:rPr>
          <w:rtl w:val="0"/>
        </w:rPr>
        <w:t xml:space="preserve">, comienza la reexposición, partiendo por mostrar una versión alternativa de A, transicionando a una variación de B al minuto </w:t>
      </w:r>
      <w:hyperlink r:id="rId13">
        <w:r w:rsidDel="00000000" w:rsidR="00000000" w:rsidRPr="00000000">
          <w:rPr>
            <w:color w:val="1155cc"/>
            <w:u w:val="single"/>
            <w:rtl w:val="0"/>
          </w:rPr>
          <w:t xml:space="preserve">11:45</w:t>
        </w:r>
      </w:hyperlink>
      <w:r w:rsidDel="00000000" w:rsidR="00000000" w:rsidRPr="00000000">
        <w:rPr>
          <w:rtl w:val="0"/>
        </w:rPr>
        <w:t xml:space="preserve">, para inmediatamente incluir una conclusión con la cual se termina la primera parte de la sinfonía. Dentro de todo, este primer movimiento resulta ser u</w:t>
      </w:r>
      <w:r w:rsidDel="00000000" w:rsidR="00000000" w:rsidRPr="00000000">
        <w:rPr>
          <w:rtl w:val="0"/>
        </w:rPr>
        <w:t xml:space="preserve">na introducción adecuada a lo que está por venir, no solo de los 3 movimientos que siguen dentro de la misma sinfonía, sino como apertura también a las sinfonías 40 y 41.</w:t>
      </w:r>
    </w:p>
    <w:p w:rsidR="00000000" w:rsidDel="00000000" w:rsidP="00000000" w:rsidRDefault="00000000" w:rsidRPr="00000000" w14:paraId="0000001E">
      <w:pPr>
        <w:spacing w:after="200" w:lineRule="auto"/>
        <w:rPr/>
      </w:pPr>
      <w:r w:rsidDel="00000000" w:rsidR="00000000" w:rsidRPr="00000000">
        <w:rPr>
          <w:rtl w:val="0"/>
        </w:rPr>
        <w:t xml:space="preserve">El primer movimiento de la </w:t>
      </w:r>
      <w:r w:rsidDel="00000000" w:rsidR="00000000" w:rsidRPr="00000000">
        <w:rPr>
          <w:b w:val="1"/>
          <w:rtl w:val="0"/>
        </w:rPr>
        <w:t xml:space="preserve">Sinfonía No. 41, I Allegro Vivace</w:t>
      </w:r>
      <w:r w:rsidDel="00000000" w:rsidR="00000000" w:rsidRPr="00000000">
        <w:rPr>
          <w:rtl w:val="0"/>
        </w:rPr>
        <w:t xml:space="preserve">, también presenta la forma sonata. A diferencia del primer movimiento de la sinfonía 39, en este la flauta dulce y los instrumentos de viento adquieren más protagonismo, siendo la flauta el conductor del motivo central de la exposición, que comienza inmediatamente al minuto </w:t>
      </w:r>
      <w:hyperlink r:id="rId14">
        <w:r w:rsidDel="00000000" w:rsidR="00000000" w:rsidRPr="00000000">
          <w:rPr>
            <w:color w:val="1155cc"/>
            <w:u w:val="single"/>
            <w:rtl w:val="0"/>
          </w:rPr>
          <w:t xml:space="preserve">57:42</w:t>
        </w:r>
      </w:hyperlink>
      <w:r w:rsidDel="00000000" w:rsidR="00000000" w:rsidRPr="00000000">
        <w:rPr>
          <w:rtl w:val="0"/>
        </w:rPr>
        <w:t xml:space="preserve">, en contraste con el movimiento analizado anteriormente, que posee una introducción más prolongada</w:t>
      </w:r>
      <w:r w:rsidDel="00000000" w:rsidR="00000000" w:rsidRPr="00000000">
        <w:rPr>
          <w:rtl w:val="0"/>
        </w:rPr>
        <w:t xml:space="preserve">. Al minuto </w:t>
      </w:r>
      <w:hyperlink r:id="rId15">
        <w:r w:rsidDel="00000000" w:rsidR="00000000" w:rsidRPr="00000000">
          <w:rPr>
            <w:color w:val="1155cc"/>
            <w:u w:val="single"/>
            <w:rtl w:val="0"/>
          </w:rPr>
          <w:t xml:space="preserve">59:11</w:t>
        </w:r>
      </w:hyperlink>
      <w:r w:rsidDel="00000000" w:rsidR="00000000" w:rsidRPr="00000000">
        <w:rPr>
          <w:rtl w:val="0"/>
        </w:rPr>
        <w:t xml:space="preserve">, los violines empiezan el motivo secundario, de manera pacífica y cuidadosa, hasta que los timbales y el resto de los instrumentos se unen dándole fuerza al tema B. Al minuto </w:t>
      </w:r>
      <w:hyperlink r:id="rId16">
        <w:r w:rsidDel="00000000" w:rsidR="00000000" w:rsidRPr="00000000">
          <w:rPr>
            <w:color w:val="1155cc"/>
            <w:u w:val="single"/>
            <w:rtl w:val="0"/>
          </w:rPr>
          <w:t xml:space="preserve">1:00:56</w:t>
        </w:r>
      </w:hyperlink>
      <w:r w:rsidDel="00000000" w:rsidR="00000000" w:rsidRPr="00000000">
        <w:rPr>
          <w:rtl w:val="0"/>
        </w:rPr>
        <w:t xml:space="preserve"> comienza el desarrollo, presentando categóricamente una modificación del tema A que contrasta altamente con las secciones más llanas del mismo tema A y el tema B. Los contrastes de intensidad de este estilo se manifiestan durante todo el desarrollo, otorgando un carácter oscilante y colorido a la obra. </w:t>
      </w:r>
      <w:r w:rsidDel="00000000" w:rsidR="00000000" w:rsidRPr="00000000">
        <w:rPr>
          <w:rtl w:val="0"/>
        </w:rPr>
        <w:t xml:space="preserve">La reexposición da lugar al minuto </w:t>
      </w:r>
      <w:hyperlink r:id="rId17">
        <w:r w:rsidDel="00000000" w:rsidR="00000000" w:rsidRPr="00000000">
          <w:rPr>
            <w:color w:val="1155cc"/>
            <w:u w:val="single"/>
            <w:rtl w:val="0"/>
          </w:rPr>
          <w:t xml:space="preserve">1:05:57</w:t>
        </w:r>
      </w:hyperlink>
      <w:r w:rsidDel="00000000" w:rsidR="00000000" w:rsidRPr="00000000">
        <w:rPr>
          <w:rtl w:val="0"/>
        </w:rPr>
        <w:t xml:space="preserve">, anunciada por los contrabajos iniciando el tema A, seguido inmediatamente por las flautas, volviendo a tomar el protagonismo descrito en la exposición. En el minuto </w:t>
      </w:r>
      <w:hyperlink r:id="rId18">
        <w:r w:rsidDel="00000000" w:rsidR="00000000" w:rsidRPr="00000000">
          <w:rPr>
            <w:color w:val="1155cc"/>
            <w:u w:val="single"/>
            <w:rtl w:val="0"/>
          </w:rPr>
          <w:t xml:space="preserve">1:07:27</w:t>
        </w:r>
      </w:hyperlink>
      <w:r w:rsidDel="00000000" w:rsidR="00000000" w:rsidRPr="00000000">
        <w:rPr>
          <w:rtl w:val="0"/>
        </w:rPr>
        <w:t xml:space="preserve">, se reintroduce el tema B, de manera potente y con todos los instrumentos, anticipando la conclusión que parte al minuto </w:t>
      </w:r>
      <w:hyperlink r:id="rId19">
        <w:r w:rsidDel="00000000" w:rsidR="00000000" w:rsidRPr="00000000">
          <w:rPr>
            <w:color w:val="1155cc"/>
            <w:u w:val="single"/>
            <w:rtl w:val="0"/>
          </w:rPr>
          <w:t xml:space="preserve">1:08:39</w:t>
        </w:r>
      </w:hyperlink>
      <w:r w:rsidDel="00000000" w:rsidR="00000000" w:rsidRPr="00000000">
        <w:rPr>
          <w:rtl w:val="0"/>
        </w:rPr>
        <w:t xml:space="preserve">, que de manera similar como ocurre en la sinfonía 39, finaliza con alta energía el primer movimiento.</w:t>
      </w:r>
    </w:p>
    <w:p w:rsidR="00000000" w:rsidDel="00000000" w:rsidP="00000000" w:rsidRDefault="00000000" w:rsidRPr="00000000" w14:paraId="0000001F">
      <w:pPr>
        <w:spacing w:after="20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Bibliografía</w:t>
      </w:r>
    </w:p>
    <w:p w:rsidR="00000000" w:rsidDel="00000000" w:rsidP="00000000" w:rsidRDefault="00000000" w:rsidRPr="00000000" w14:paraId="00000022">
      <w:pPr>
        <w:numPr>
          <w:ilvl w:val="0"/>
          <w:numId w:val="1"/>
        </w:numPr>
        <w:ind w:left="720" w:hanging="360"/>
        <w:jc w:val="left"/>
        <w:rPr/>
      </w:pPr>
      <w:r w:rsidDel="00000000" w:rsidR="00000000" w:rsidRPr="00000000">
        <w:rPr>
          <w:rtl w:val="0"/>
        </w:rPr>
        <w:t xml:space="preserve">CMajorGlobal. (2014, Agosto 25). </w:t>
      </w:r>
      <w:r w:rsidDel="00000000" w:rsidR="00000000" w:rsidRPr="00000000">
        <w:rPr>
          <w:i w:val="1"/>
          <w:rtl w:val="0"/>
        </w:rPr>
        <w:t xml:space="preserve">Mozart's Final Symphonies - Orchestra of The Eighteenth Century</w:t>
      </w:r>
      <w:r w:rsidDel="00000000" w:rsidR="00000000" w:rsidRPr="00000000">
        <w:rPr>
          <w:rtl w:val="0"/>
        </w:rPr>
        <w:t xml:space="preserve"> [Video]. Youtube. </w:t>
      </w:r>
      <w:hyperlink r:id="rId20">
        <w:r w:rsidDel="00000000" w:rsidR="00000000" w:rsidRPr="00000000">
          <w:rPr>
            <w:color w:val="1155cc"/>
            <w:u w:val="single"/>
            <w:rtl w:val="0"/>
          </w:rPr>
          <w:t xml:space="preserve">https://www.youtube.com/watch?v=iILjCal8fs8</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iILjCal8fs8" TargetMode="External"/><Relationship Id="rId11" Type="http://schemas.openxmlformats.org/officeDocument/2006/relationships/hyperlink" Target="https://youtu.be/iILjCal8fs8?t=420" TargetMode="External"/><Relationship Id="rId22" Type="http://schemas.openxmlformats.org/officeDocument/2006/relationships/header" Target="header1.xml"/><Relationship Id="rId10" Type="http://schemas.openxmlformats.org/officeDocument/2006/relationships/hyperlink" Target="https://youtu.be/iILjCal8fs8?t=361" TargetMode="External"/><Relationship Id="rId21" Type="http://schemas.openxmlformats.org/officeDocument/2006/relationships/header" Target="header2.xml"/><Relationship Id="rId13" Type="http://schemas.openxmlformats.org/officeDocument/2006/relationships/hyperlink" Target="https://youtu.be/iILjCal8fs8?t=705" TargetMode="External"/><Relationship Id="rId24" Type="http://schemas.openxmlformats.org/officeDocument/2006/relationships/footer" Target="footer1.xml"/><Relationship Id="rId12" Type="http://schemas.openxmlformats.org/officeDocument/2006/relationships/hyperlink" Target="https://youtu.be/iILjCal8fs8?t=585"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iILjCal8fs8?t=272" TargetMode="External"/><Relationship Id="rId15" Type="http://schemas.openxmlformats.org/officeDocument/2006/relationships/hyperlink" Target="https://youtu.be/iILjCal8fs8?t=3551" TargetMode="External"/><Relationship Id="rId14" Type="http://schemas.openxmlformats.org/officeDocument/2006/relationships/hyperlink" Target="https://youtu.be/iILjCal8fs8?t=3462" TargetMode="External"/><Relationship Id="rId17" Type="http://schemas.openxmlformats.org/officeDocument/2006/relationships/hyperlink" Target="https://youtu.be/iILjCal8fs8?t=3957" TargetMode="External"/><Relationship Id="rId16" Type="http://schemas.openxmlformats.org/officeDocument/2006/relationships/hyperlink" Target="https://youtu.be/iILjCal8fs8?t=3656" TargetMode="External"/><Relationship Id="rId5" Type="http://schemas.openxmlformats.org/officeDocument/2006/relationships/styles" Target="styles.xml"/><Relationship Id="rId19" Type="http://schemas.openxmlformats.org/officeDocument/2006/relationships/hyperlink" Target="https://youtu.be/iILjCal8fs8?t=4119" TargetMode="External"/><Relationship Id="rId6" Type="http://schemas.openxmlformats.org/officeDocument/2006/relationships/image" Target="media/image1.png"/><Relationship Id="rId18" Type="http://schemas.openxmlformats.org/officeDocument/2006/relationships/hyperlink" Target="https://youtu.be/iILjCal8fs8?t=4047" TargetMode="External"/><Relationship Id="rId7" Type="http://schemas.openxmlformats.org/officeDocument/2006/relationships/hyperlink" Target="https://www.youtube.com/watch?v=iILjCal8fs8" TargetMode="External"/><Relationship Id="rId8" Type="http://schemas.openxmlformats.org/officeDocument/2006/relationships/hyperlink" Target="https://youtu.be/iILjCal8fs8?t=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