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E71" w:rsidRPr="00770E71" w:rsidRDefault="00770E71" w:rsidP="00867328">
      <w:pPr>
        <w:spacing w:before="100" w:beforeAutospacing="1" w:after="100" w:afterAutospacing="1" w:line="240" w:lineRule="auto"/>
        <w:rPr>
          <w:rFonts w:ascii="Times New Roman" w:eastAsia="Times New Roman" w:hAnsi="Times New Roman" w:cs="Times New Roman"/>
          <w:color w:val="000000"/>
          <w:sz w:val="24"/>
          <w:szCs w:val="24"/>
          <w:lang w:eastAsia="es-CL"/>
        </w:rPr>
      </w:pPr>
      <w:bookmarkStart w:id="0" w:name="_GoBack"/>
      <w:bookmarkEnd w:id="0"/>
      <w:r w:rsidRPr="00770E71">
        <w:rPr>
          <w:rFonts w:ascii="Times New Roman" w:eastAsia="Times New Roman" w:hAnsi="Times New Roman" w:cs="Times New Roman"/>
          <w:b/>
          <w:bCs/>
          <w:i/>
          <w:iCs/>
          <w:color w:val="000000"/>
          <w:sz w:val="24"/>
          <w:szCs w:val="24"/>
          <w:lang w:eastAsia="es-CL"/>
        </w:rPr>
        <w:t>RUPTURA EN LA MÚSICA DEL SIGLO XX</w:t>
      </w:r>
    </w:p>
    <w:p w:rsidR="00770E71" w:rsidRPr="00770E71" w:rsidRDefault="00770E71" w:rsidP="00867328">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b/>
          <w:bCs/>
          <w:i/>
          <w:iCs/>
          <w:color w:val="000000"/>
          <w:sz w:val="24"/>
          <w:szCs w:val="24"/>
          <w:lang w:eastAsia="es-CL"/>
        </w:rPr>
        <w:t>Apuntes</w:t>
      </w:r>
      <w:r w:rsidR="00867328">
        <w:rPr>
          <w:rFonts w:ascii="Times New Roman" w:eastAsia="Times New Roman" w:hAnsi="Times New Roman" w:cs="Times New Roman"/>
          <w:b/>
          <w:bCs/>
          <w:i/>
          <w:iCs/>
          <w:color w:val="000000"/>
          <w:sz w:val="24"/>
          <w:szCs w:val="24"/>
          <w:lang w:eastAsia="es-CL"/>
        </w:rPr>
        <w:t>.  Prof. Cristián Guerra Rojas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Al introducir el concepto de "ruptura" en el caso de la música de tradición docta en el siglo XX, es necesario aclarar cuál es el referente con el cual "se rompe". Este referente es, ante todo, un concepto de la obra de arte musical que predomina durante el siglo XIX y hasta principios del siglo XX: una </w:t>
      </w:r>
      <w:r w:rsidRPr="00770E71">
        <w:rPr>
          <w:rFonts w:ascii="Times New Roman" w:eastAsia="Times New Roman" w:hAnsi="Times New Roman" w:cs="Times New Roman"/>
          <w:b/>
          <w:bCs/>
          <w:i/>
          <w:iCs/>
          <w:color w:val="000000"/>
          <w:sz w:val="24"/>
          <w:szCs w:val="24"/>
          <w:lang w:eastAsia="es-CL"/>
        </w:rPr>
        <w:t xml:space="preserve">Entidad autónoma, original y tonalmente organizada. </w:t>
      </w:r>
      <w:r w:rsidRPr="00770E71">
        <w:rPr>
          <w:rFonts w:ascii="Times New Roman" w:eastAsia="Times New Roman" w:hAnsi="Times New Roman" w:cs="Times New Roman"/>
          <w:color w:val="000000"/>
          <w:sz w:val="24"/>
          <w:szCs w:val="24"/>
          <w:lang w:eastAsia="es-CL"/>
        </w:rPr>
        <w:t xml:space="preserve">La obra de arte musical como </w:t>
      </w:r>
      <w:r w:rsidRPr="00770E71">
        <w:rPr>
          <w:rFonts w:ascii="Times New Roman" w:eastAsia="Times New Roman" w:hAnsi="Times New Roman" w:cs="Times New Roman"/>
          <w:b/>
          <w:bCs/>
          <w:i/>
          <w:iCs/>
          <w:color w:val="000000"/>
          <w:sz w:val="24"/>
          <w:szCs w:val="24"/>
          <w:lang w:eastAsia="es-CL"/>
        </w:rPr>
        <w:t>entidad autónoma</w:t>
      </w:r>
      <w:r w:rsidRPr="00770E71">
        <w:rPr>
          <w:rFonts w:ascii="Times New Roman" w:eastAsia="Times New Roman" w:hAnsi="Times New Roman" w:cs="Times New Roman"/>
          <w:color w:val="000000"/>
          <w:sz w:val="24"/>
          <w:szCs w:val="24"/>
          <w:lang w:eastAsia="es-CL"/>
        </w:rPr>
        <w:t xml:space="preserve"> implica que posee legitimidad y validez estética, cualidades que le otorgan una trascendencia por encima de las contingencias sociohistóricas (el contexto) en las cuales ha sido concebida. La obra de arte musical como </w:t>
      </w:r>
      <w:r w:rsidRPr="00770E71">
        <w:rPr>
          <w:rFonts w:ascii="Times New Roman" w:eastAsia="Times New Roman" w:hAnsi="Times New Roman" w:cs="Times New Roman"/>
          <w:b/>
          <w:bCs/>
          <w:i/>
          <w:iCs/>
          <w:color w:val="000000"/>
          <w:sz w:val="24"/>
          <w:szCs w:val="24"/>
          <w:lang w:eastAsia="es-CL"/>
        </w:rPr>
        <w:t>entidad original</w:t>
      </w:r>
      <w:r w:rsidRPr="00770E71">
        <w:rPr>
          <w:rFonts w:ascii="Times New Roman" w:eastAsia="Times New Roman" w:hAnsi="Times New Roman" w:cs="Times New Roman"/>
          <w:color w:val="000000"/>
          <w:sz w:val="24"/>
          <w:szCs w:val="24"/>
          <w:lang w:eastAsia="es-CL"/>
        </w:rPr>
        <w:t xml:space="preserve"> implica tanto su carácter único como su procedencia desde el genio creativo de un artista creador, un compositor. La obra de arte musical como </w:t>
      </w:r>
      <w:r w:rsidRPr="00770E71">
        <w:rPr>
          <w:rFonts w:ascii="Times New Roman" w:eastAsia="Times New Roman" w:hAnsi="Times New Roman" w:cs="Times New Roman"/>
          <w:b/>
          <w:bCs/>
          <w:i/>
          <w:iCs/>
          <w:color w:val="000000"/>
          <w:sz w:val="24"/>
          <w:szCs w:val="24"/>
          <w:lang w:eastAsia="es-CL"/>
        </w:rPr>
        <w:t>entidad tonalmente organizada</w:t>
      </w:r>
      <w:r w:rsidRPr="00770E71">
        <w:rPr>
          <w:rFonts w:ascii="Times New Roman" w:eastAsia="Times New Roman" w:hAnsi="Times New Roman" w:cs="Times New Roman"/>
          <w:color w:val="000000"/>
          <w:sz w:val="24"/>
          <w:szCs w:val="24"/>
          <w:lang w:eastAsia="es-CL"/>
        </w:rPr>
        <w:t xml:space="preserve"> implica que el sistema tonal es el fundamento de su estructura. Precisamente, en el siglo XX se asiste a la ruptura con el sistema tonal y con el concepto de obra de arte musical como lo hemos expuesto.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I. RUPTURA CON LA TRADICIÓN ARMÓNICO-TONAL.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La</w:t>
      </w:r>
      <w:bookmarkStart w:id="1" w:name="_ftnref1"/>
      <w:r>
        <w:rPr>
          <w:rFonts w:ascii="Times New Roman" w:eastAsia="Times New Roman" w:hAnsi="Times New Roman" w:cs="Times New Roman"/>
          <w:color w:val="000000"/>
          <w:sz w:val="24"/>
          <w:szCs w:val="24"/>
          <w:lang w:eastAsia="es-CL"/>
        </w:rPr>
        <w:t xml:space="preserve"> tonalidad y sus características   </w:t>
      </w:r>
      <w:bookmarkEnd w:id="1"/>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La tonalidad implica el predominio de un parámetro musical específico, la altura, al cual se subordinan la duración (ritmo, velocidad), el timbre, la intensidad (dinámica), etc. Existen al menos dos tipos de altura: definida (es decir, sonidos cuya "nota" es reconocible: DO, RE, SOL, etc.) e indefinida (por ejemplo, el sonido de un platillo). La tonalidad implica el predominio de la altura definida.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espacio musical de la tonalidad está determinado por el sistema de temperamento igual, un ajuste de las propiedades acústicas de los sonidos que permite dividir la octava (el intervalo fundamental) en doce semitonos iguales. Este sistema permitió el desarrollo de los instrumentos de teclado y la posibilidad de moverse entre doce tonalidades mayores y doce tonalidades menores en una obra musical. Probablemente </w:t>
      </w:r>
      <w:r w:rsidRPr="00770E71">
        <w:rPr>
          <w:rFonts w:ascii="Times New Roman" w:eastAsia="Times New Roman" w:hAnsi="Times New Roman" w:cs="Times New Roman"/>
          <w:i/>
          <w:iCs/>
          <w:color w:val="000000"/>
          <w:sz w:val="24"/>
          <w:szCs w:val="24"/>
          <w:lang w:eastAsia="es-CL"/>
        </w:rPr>
        <w:t>El Clavecín bien temperado</w:t>
      </w:r>
      <w:r w:rsidRPr="00770E71">
        <w:rPr>
          <w:rFonts w:ascii="Times New Roman" w:eastAsia="Times New Roman" w:hAnsi="Times New Roman" w:cs="Times New Roman"/>
          <w:color w:val="000000"/>
          <w:sz w:val="24"/>
          <w:szCs w:val="24"/>
          <w:lang w:eastAsia="es-CL"/>
        </w:rPr>
        <w:t xml:space="preserve"> de Johann Sebastian Bach (1685-1750), una colección de preludios y fugas ordenados según el orden ascendente de las doce tonalidades posibles, alternando mayores y menores, fue concebida para demostrar las posibilidades de este sistema.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sistema de temperamento igual se impuso hacia mediados del siglo XIX, pero el sistema tonal ya estaba establecido al menos en el terreno de la práctica musical desde fines del siglo XVII. En la década de 1720, el compositor y teórico francés Jean-Philippe Rameau estableció la justificación teórica de la tonalidad a partir del fenómeno acústico de la serie de los sonidos armónicos o parciales. Todo sonido musical de altura definida, es decir, equivalente a una nota musical (DO, RE, MI, etc.), es un compuesto del sonido fundamental, que le da su nombre a la nota, y de un número más o menos grande de sonidos agregados de frecuencia mayor llamados armónicos o parciales. La mayor o menor presencia de estos sonidos contribuyen a determinar el timbre característico de cada fuente sonora, lo cual nos permite distinguir, por ejemplo, una nota DO emitida por un piano de aquel DO emitido por una flauta, una marimba o una voz humana. La sucesión de estos </w:t>
      </w:r>
      <w:r w:rsidRPr="00770E71">
        <w:rPr>
          <w:rFonts w:ascii="Times New Roman" w:eastAsia="Times New Roman" w:hAnsi="Times New Roman" w:cs="Times New Roman"/>
          <w:color w:val="000000"/>
          <w:sz w:val="24"/>
          <w:szCs w:val="24"/>
          <w:lang w:eastAsia="es-CL"/>
        </w:rPr>
        <w:lastRenderedPageBreak/>
        <w:t>sonidos se denomina serie armónica o serie de los parciales, algunos de los cuales no corresponden exactamente con las alturas determinadas por el sistema de temperamento igual. Rameau estableció que la tríada perfecta mayor (acorde mayor), unidad fundamental en el sistema tonal, se forma con los parciales 4, 5 y 6. Por lo tanto, según Rameau la tonalidad tiene un fundamento "natural".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Las leyes tonales que rigen los enlaces de los acordes y la conducción de las voces en una composición musical, implican un predominio de las consonancias, es decir, de aquellos intervalos que aparecen formados con los primeros parciales de la serie y que además resultan —generalmente— más agradables a nuestro oído. A partir de este principio, se explica que cada especie de acorde cumpla funciones determinadas dentro de la estructura musical. Por ejemplo, un acorde mayor con 7ª menor agregada, constituye una especie usada exclusivamente como función de Dominante en un giro cadencial o de cierre temporal o definitivo de una sección en la pieza musical.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De este modo, la tonalidad implica el predominio de la altura temperada y de la consonancia, regidas por la armonía funcional (leyes de enlace de los acordes). Durante el siglo XX, asistimos a una ruptura con cada uno de estos rasgos.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1. Ruptura con la armonía funcional: La armonía colorística.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compositor francés Claude Debussy (1862-1918) introduce en su música el concepto de armonía colorística, es decir, acordes usados por su sonoridad y no de acuerdo a la función que debieran cumplir según las leyes tonales. Por ejemplo, en su preludio para piano </w:t>
      </w:r>
      <w:r w:rsidRPr="00770E71">
        <w:rPr>
          <w:rFonts w:ascii="Times New Roman" w:eastAsia="Times New Roman" w:hAnsi="Times New Roman" w:cs="Times New Roman"/>
          <w:i/>
          <w:iCs/>
          <w:color w:val="000000"/>
          <w:sz w:val="24"/>
          <w:szCs w:val="24"/>
          <w:lang w:eastAsia="es-CL"/>
        </w:rPr>
        <w:t>La Catedral Sumergida</w:t>
      </w:r>
      <w:r w:rsidRPr="00770E71">
        <w:rPr>
          <w:rFonts w:ascii="Times New Roman" w:eastAsia="Times New Roman" w:hAnsi="Times New Roman" w:cs="Times New Roman"/>
          <w:color w:val="000000"/>
          <w:sz w:val="24"/>
          <w:szCs w:val="24"/>
          <w:lang w:eastAsia="es-CL"/>
        </w:rPr>
        <w:t xml:space="preserve"> (1910), se comienza con enlaces de acordes paralelos que contravienen los principios de conducción de voces tradicional y aparece un fragmento donde se suceden distintos acordes mayores con 7ª menor, una especie usada tradicionalmente como función de Dominante y acá usados como efecto colorístico.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2. Ruptura con la consonancia: El atonalismo.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En la década de 1910, el compositor y teórico judío-austriaco Arnold Schoenberg (1874-1951), a partir de un referente estético expresionista, plantea la emancipación de la disonancia sobre las mismas bases que Rameau argumenta para justificar la naturalidad de la tonalidad. Schoenberg considera que no sólo las consonancias, sino las disonancias se hallan presentes en la serie de los parciales, por lo tanto, son tan "naturales" como las consonancias. A  partir de este principio, Schoenberg establece que la tonalidad es una convención y como tal, puede ser sustituida por otras. La igualdad de condiciones entre consonancias y disonancias implica la atonalidad, es decir, la ausencia de un referente central perceptible y por lo tanto, la necesidad de buscar nuevos sistemas de organización estructural. El ciclo </w:t>
      </w:r>
      <w:r w:rsidRPr="00770E71">
        <w:rPr>
          <w:rFonts w:ascii="Times New Roman" w:eastAsia="Times New Roman" w:hAnsi="Times New Roman" w:cs="Times New Roman"/>
          <w:i/>
          <w:iCs/>
          <w:color w:val="000000"/>
          <w:sz w:val="24"/>
          <w:szCs w:val="24"/>
          <w:lang w:eastAsia="es-CL"/>
        </w:rPr>
        <w:t>Pierrot Lunaire</w:t>
      </w:r>
      <w:r w:rsidRPr="00770E71">
        <w:rPr>
          <w:rFonts w:ascii="Times New Roman" w:eastAsia="Times New Roman" w:hAnsi="Times New Roman" w:cs="Times New Roman"/>
          <w:color w:val="000000"/>
          <w:sz w:val="24"/>
          <w:szCs w:val="24"/>
          <w:lang w:eastAsia="es-CL"/>
        </w:rPr>
        <w:t xml:space="preserve"> Op.21 (1912) es, entre otras cosas, una síntesis de diversas vías que Schoenberg explora para encontrar tal organización: recursos contrapuntísticos, uso sutil de ostinatos, reiteración de motivos desarrollados, estructuras interválicas recurrentes, etc.</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lastRenderedPageBreak/>
        <w:t xml:space="preserve">Sin embargo, no sólo Schoenberg llega a la atonalidad en aquella época. Desde el misticismo esotérico, el compositor ruso Alexander Skryabin (1872-1915) descubre una entidad que él denomina "acorde místico" y que define como "acorde del pleroma (término gnóstico que significa "plenitud", el reino de lo divino más allá del universo físico y la comprensión humana)". Esta entidad, consistente en una sucesión de cuartas de distinta especie, es el fundamento de una atonalidad que Skryabin desarrolla en su música a partir de su obra sinfónica </w:t>
      </w:r>
      <w:r w:rsidRPr="00770E71">
        <w:rPr>
          <w:rFonts w:ascii="Times New Roman" w:eastAsia="Times New Roman" w:hAnsi="Times New Roman" w:cs="Times New Roman"/>
          <w:i/>
          <w:iCs/>
          <w:color w:val="000000"/>
          <w:sz w:val="24"/>
          <w:szCs w:val="24"/>
          <w:lang w:eastAsia="es-CL"/>
        </w:rPr>
        <w:t>Prometeo, el Poema del Fuego</w:t>
      </w:r>
      <w:r w:rsidRPr="00770E71">
        <w:rPr>
          <w:rFonts w:ascii="Times New Roman" w:eastAsia="Times New Roman" w:hAnsi="Times New Roman" w:cs="Times New Roman"/>
          <w:color w:val="000000"/>
          <w:sz w:val="24"/>
          <w:szCs w:val="24"/>
          <w:lang w:eastAsia="es-CL"/>
        </w:rPr>
        <w:t xml:space="preserve"> Op.60 (1908-10).</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Por otro lado, el compositor estadounidense Charles Ives (1874-1954), a partir de un trasfondo trascendentalista (filosofía que, especialmente en Thoreau, otorga gran importancia a la libertad del individuo frente a todo tipo de imitación y convención social) y nacionalista, crea obras que anuncian no sólo la atonalidad (Canciones y estudios para piano), sino también la politonalidad (</w:t>
      </w:r>
      <w:r w:rsidRPr="00770E71">
        <w:rPr>
          <w:rFonts w:ascii="Times New Roman" w:eastAsia="Times New Roman" w:hAnsi="Times New Roman" w:cs="Times New Roman"/>
          <w:i/>
          <w:iCs/>
          <w:color w:val="000000"/>
          <w:sz w:val="24"/>
          <w:szCs w:val="24"/>
          <w:lang w:eastAsia="es-CL"/>
        </w:rPr>
        <w:t>Variaciones sobre América</w:t>
      </w:r>
      <w:r w:rsidRPr="00770E71">
        <w:rPr>
          <w:rFonts w:ascii="Times New Roman" w:eastAsia="Times New Roman" w:hAnsi="Times New Roman" w:cs="Times New Roman"/>
          <w:color w:val="000000"/>
          <w:sz w:val="24"/>
          <w:szCs w:val="24"/>
          <w:lang w:eastAsia="es-CL"/>
        </w:rPr>
        <w:t xml:space="preserve"> de 1891, original para órgano), la emancipación del ritmo (</w:t>
      </w:r>
      <w:r w:rsidRPr="00770E71">
        <w:rPr>
          <w:rFonts w:ascii="Times New Roman" w:eastAsia="Times New Roman" w:hAnsi="Times New Roman" w:cs="Times New Roman"/>
          <w:i/>
          <w:iCs/>
          <w:color w:val="000000"/>
          <w:sz w:val="24"/>
          <w:szCs w:val="24"/>
          <w:lang w:eastAsia="es-CL"/>
        </w:rPr>
        <w:t>Sinfonía Nº 4</w:t>
      </w:r>
      <w:r w:rsidRPr="00770E71">
        <w:rPr>
          <w:rFonts w:ascii="Times New Roman" w:eastAsia="Times New Roman" w:hAnsi="Times New Roman" w:cs="Times New Roman"/>
          <w:color w:val="000000"/>
          <w:sz w:val="24"/>
          <w:szCs w:val="24"/>
          <w:lang w:eastAsia="es-CL"/>
        </w:rPr>
        <w:t xml:space="preserve"> de 1910-1916: estrenada en 1965, tan difícil que se necesitaron 3 directores para el estreno mundial), la música aleatoria (en una obra con fagot, instruye al intérprete para que toque lo que quiera después de cierto punto), el microtonalismo (obras corales) y otras diversas tendencias, pero que serían dadas a conocer al público recién a partir de la década de 1930.</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Pero corresponde a Schoenberg el mérito de haber concebido en la década de 1920 un sistema que otorga una organización al universo atonal que devendría fundamental en el desarrollo de la música del siglo XX: el serialismo dodecafónico. La serie dodecafónica consiste en un orden que el compositor escoge para el total cromático, en el cual ningún sonido debe repetirse y que constituye el fundamento de la composición. Esta serie puede presentarse en forma directa, inversa, retrogradada o la inversión retrogradada (antiguos recursos contrapuntísticos usados desde fines de la edad media) y, en cualquiera de estas formas, transportada, lo cual nos da 48 posibilidades de presentación de la serie. Este sistema es adoptado por Schoenberg y por sus dos discípulos más destacados, Alban Berg (1885-1935) y Anton Webern (1883-1945). Mientras Berg presenta en su música una clara inclinación hacia el pasado decimonónico, en Webern aparece un nuevo concepto musical, una suspensión aparente de la temporalidad y una valorización de cada acontecimiento sonoro que anuncia algunas tendencias principales posteriores a la Segunda Guerra Mundial.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3. Ruptura con el temperamento igual: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Aparecen propuestas que plantean un traspaso de las fronteras del total cromático dado por el sistema de temperamento igual, ya sea mediante la búsqueda de nuevas divisiones dentro de ese mismo sistema o el (re)descubrimiento de otros sistemas de afinación. A la primera posibilidad se le ha otorgado usualmente el nombre de "microtonalismo", pero algunos autores extienden también este concepto hacia el uso de otros sistemas de afinación. Compositores como Alois Haba, Hans Barth y Julián Carrillo exploraron nuevas divisiones dentro del sistema de temperamento igual: cuartos de tono, sextos de tono, etc. En tanto, compositores como los estadounidenses Harry Partch (1901-1974) y Ben Johnston (1926) exploraron las posibilidades de otros sistemas de afinación. Por ejemplo, Johnston recupera un antiguo sistema de afinación conocido como "Entonación Justa" para su obra </w:t>
      </w:r>
      <w:r w:rsidRPr="00770E71">
        <w:rPr>
          <w:rFonts w:ascii="Times New Roman" w:eastAsia="Times New Roman" w:hAnsi="Times New Roman" w:cs="Times New Roman"/>
          <w:i/>
          <w:iCs/>
          <w:color w:val="000000"/>
          <w:sz w:val="24"/>
          <w:szCs w:val="24"/>
          <w:lang w:eastAsia="es-CL"/>
        </w:rPr>
        <w:t xml:space="preserve">Sonata </w:t>
      </w:r>
      <w:r w:rsidRPr="00770E71">
        <w:rPr>
          <w:rFonts w:ascii="Times New Roman" w:eastAsia="Times New Roman" w:hAnsi="Times New Roman" w:cs="Times New Roman"/>
          <w:i/>
          <w:iCs/>
          <w:color w:val="000000"/>
          <w:sz w:val="24"/>
          <w:szCs w:val="24"/>
          <w:lang w:eastAsia="es-CL"/>
        </w:rPr>
        <w:lastRenderedPageBreak/>
        <w:t>para piano microtonal</w:t>
      </w:r>
      <w:r w:rsidRPr="00770E71">
        <w:rPr>
          <w:rFonts w:ascii="Times New Roman" w:eastAsia="Times New Roman" w:hAnsi="Times New Roman" w:cs="Times New Roman"/>
          <w:color w:val="000000"/>
          <w:sz w:val="24"/>
          <w:szCs w:val="24"/>
          <w:lang w:eastAsia="es-CL"/>
        </w:rPr>
        <w:t xml:space="preserve"> (1964-5), donde el piano es afinado con ese sistema, de lo cual resulta que sólo siete notas de las 88 tienen octavas equivalentes.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4. Ruptura con la altura definida: El futurismo,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El movimiento futurista que surge en Italia a comienzos del siglo XX también contempló propuestas musicales. El compositor Luigi Russolo (1885-1947) preconizó la adopción del ruido para la nueva música y construyó instrumentos especiales destinados a emitir sonidos de rugidos, ronquidos, gruñidos, bocinas,  truenos, etc. Esto implica una ruptura con el predominio de los sonidos de altura definida y un anuncio de los trabajos de Varèse y de la música electrónica,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5. Ruptura con el predominio de la altura.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La altura, parámetro musical predominante en la tonalidad, es desplazada mediante el ascenso en consideración de otros parámetros como el ritmo, el timbre o la textura. El compositor ruso-francés-estadounidense Igor Stravinsky (1882-1971) inscribió su nombre en la historia con su obra </w:t>
      </w:r>
      <w:r w:rsidRPr="00770E71">
        <w:rPr>
          <w:rFonts w:ascii="Times New Roman" w:eastAsia="Times New Roman" w:hAnsi="Times New Roman" w:cs="Times New Roman"/>
          <w:i/>
          <w:iCs/>
          <w:color w:val="000000"/>
          <w:sz w:val="24"/>
          <w:szCs w:val="24"/>
          <w:lang w:eastAsia="es-CL"/>
        </w:rPr>
        <w:t>La Consagración de la Primavera</w:t>
      </w:r>
      <w:r w:rsidRPr="00770E71">
        <w:rPr>
          <w:rFonts w:ascii="Times New Roman" w:eastAsia="Times New Roman" w:hAnsi="Times New Roman" w:cs="Times New Roman"/>
          <w:color w:val="000000"/>
          <w:sz w:val="24"/>
          <w:szCs w:val="24"/>
          <w:lang w:eastAsia="es-CL"/>
        </w:rPr>
        <w:t xml:space="preserve"> (1913), música concebida originalmente para un ballet que ha sido definida más bien como una "explosión de danza", música donde el ritmo adquiere un protagonismo inusual para aquella época y que explica en parte el escándalo memorable que significó su estreno.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Otros compositores han buscado nuevos usos para los instrumentos tradicionales, como el caso de los estadounidenses Henry Cowell (1897-1965) con el piano pulsado y los clusters o racimos de notas y John Cage (1912-1992) con el piano preparado. El recientemente desaparecido compositor italiano Luciano Berio (1925-2003) ha explorado las posibilidades de distintas fuentes sonoras, incluyendo la voz humanas, en su serie de </w:t>
      </w:r>
      <w:r w:rsidRPr="00770E71">
        <w:rPr>
          <w:rFonts w:ascii="Times New Roman" w:eastAsia="Times New Roman" w:hAnsi="Times New Roman" w:cs="Times New Roman"/>
          <w:i/>
          <w:iCs/>
          <w:color w:val="000000"/>
          <w:sz w:val="24"/>
          <w:szCs w:val="24"/>
          <w:lang w:eastAsia="es-CL"/>
        </w:rPr>
        <w:t>Sequenzas</w:t>
      </w:r>
      <w:r w:rsidRPr="00770E71">
        <w:rPr>
          <w:rFonts w:ascii="Times New Roman" w:eastAsia="Times New Roman" w:hAnsi="Times New Roman" w:cs="Times New Roman"/>
          <w:color w:val="000000"/>
          <w:sz w:val="24"/>
          <w:szCs w:val="24"/>
          <w:lang w:eastAsia="es-CL"/>
        </w:rPr>
        <w:t>. Y otros compositores han introducido o inventado nuevos instrumentos, como el f</w:t>
      </w:r>
      <w:r w:rsidR="00867328">
        <w:rPr>
          <w:rFonts w:ascii="Times New Roman" w:eastAsia="Times New Roman" w:hAnsi="Times New Roman" w:cs="Times New Roman"/>
          <w:color w:val="000000"/>
          <w:sz w:val="24"/>
          <w:szCs w:val="24"/>
          <w:lang w:eastAsia="es-CL"/>
        </w:rPr>
        <w:t>rancés-estadounidense Edgar Varè</w:t>
      </w:r>
      <w:r w:rsidRPr="00770E71">
        <w:rPr>
          <w:rFonts w:ascii="Times New Roman" w:eastAsia="Times New Roman" w:hAnsi="Times New Roman" w:cs="Times New Roman"/>
          <w:color w:val="000000"/>
          <w:sz w:val="24"/>
          <w:szCs w:val="24"/>
          <w:lang w:eastAsia="es-CL"/>
        </w:rPr>
        <w:t xml:space="preserve">se (1883-1965) que abre el interés por los instrumentos de percusión en su obra </w:t>
      </w:r>
      <w:r w:rsidRPr="00770E71">
        <w:rPr>
          <w:rFonts w:ascii="Times New Roman" w:eastAsia="Times New Roman" w:hAnsi="Times New Roman" w:cs="Times New Roman"/>
          <w:i/>
          <w:iCs/>
          <w:color w:val="000000"/>
          <w:sz w:val="24"/>
          <w:szCs w:val="24"/>
          <w:lang w:eastAsia="es-CL"/>
        </w:rPr>
        <w:t>Ionización</w:t>
      </w:r>
      <w:r w:rsidRPr="00770E71">
        <w:rPr>
          <w:rFonts w:ascii="Times New Roman" w:eastAsia="Times New Roman" w:hAnsi="Times New Roman" w:cs="Times New Roman"/>
          <w:color w:val="000000"/>
          <w:sz w:val="24"/>
          <w:szCs w:val="24"/>
          <w:lang w:eastAsia="es-CL"/>
        </w:rPr>
        <w:t xml:space="preserve"> (1931: Alusión  al proceso de disociación de los electrones del núcleo del átomo y su transformación en iones, 13 intérpretes para 37 instrumentos que incluyen instrumentos de altura indefinida, dos sirenas, 6 campanas tubulares, glockenspiel y piano) y el mencionado Harry Partch que inventó o "adaptó" diversos instrumentos para su música.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w:t>
      </w:r>
      <w:r w:rsidR="00867328">
        <w:rPr>
          <w:rFonts w:ascii="Times New Roman" w:eastAsia="Times New Roman" w:hAnsi="Times New Roman" w:cs="Times New Roman"/>
          <w:color w:val="000000"/>
          <w:sz w:val="24"/>
          <w:szCs w:val="24"/>
          <w:lang w:eastAsia="es-CL"/>
        </w:rPr>
        <w:t>Varè</w:t>
      </w:r>
      <w:r w:rsidRPr="00770E71">
        <w:rPr>
          <w:rFonts w:ascii="Times New Roman" w:eastAsia="Times New Roman" w:hAnsi="Times New Roman" w:cs="Times New Roman"/>
          <w:color w:val="000000"/>
          <w:sz w:val="24"/>
          <w:szCs w:val="24"/>
          <w:lang w:eastAsia="es-CL"/>
        </w:rPr>
        <w:t xml:space="preserve">se también debe ser mencionado como precursor de las exploraciones en el terreno de la textura musical como base de la organización musical. En la segunda mitad del siglo XX, compositores como el polaco Krzystof Penderecki (1933) o el judío-austrohúngaro György Ligeti (1923) han destacado en este campo. Penderecki, en su obra </w:t>
      </w:r>
      <w:r w:rsidRPr="00770E71">
        <w:rPr>
          <w:rFonts w:ascii="Times New Roman" w:eastAsia="Times New Roman" w:hAnsi="Times New Roman" w:cs="Times New Roman"/>
          <w:i/>
          <w:iCs/>
          <w:color w:val="000000"/>
          <w:sz w:val="24"/>
          <w:szCs w:val="24"/>
          <w:lang w:eastAsia="es-CL"/>
        </w:rPr>
        <w:t>Threni por las víctimas de Hiroshima</w:t>
      </w:r>
      <w:r w:rsidRPr="00770E71">
        <w:rPr>
          <w:rFonts w:ascii="Times New Roman" w:eastAsia="Times New Roman" w:hAnsi="Times New Roman" w:cs="Times New Roman"/>
          <w:color w:val="000000"/>
          <w:sz w:val="24"/>
          <w:szCs w:val="24"/>
          <w:lang w:eastAsia="es-CL"/>
        </w:rPr>
        <w:t xml:space="preserve"> para instrumentos de cuerda (1960), escribe una parte individual para cada uno de los 52 instrumentistas (24 violines, 10 violas, 10 violoncelos, 8 contrabajos) y recurre a una notación especial. Por su parte, Ligeti en </w:t>
      </w:r>
      <w:r w:rsidRPr="00770E71">
        <w:rPr>
          <w:rFonts w:ascii="Times New Roman" w:eastAsia="Times New Roman" w:hAnsi="Times New Roman" w:cs="Times New Roman"/>
          <w:i/>
          <w:iCs/>
          <w:color w:val="000000"/>
          <w:sz w:val="24"/>
          <w:szCs w:val="24"/>
          <w:lang w:eastAsia="es-CL"/>
        </w:rPr>
        <w:t>Lux aeterna</w:t>
      </w:r>
      <w:r w:rsidRPr="00770E71">
        <w:rPr>
          <w:rFonts w:ascii="Times New Roman" w:eastAsia="Times New Roman" w:hAnsi="Times New Roman" w:cs="Times New Roman"/>
          <w:color w:val="000000"/>
          <w:sz w:val="24"/>
          <w:szCs w:val="24"/>
          <w:lang w:eastAsia="es-CL"/>
        </w:rPr>
        <w:t xml:space="preserve"> (1966) para coro mixto a 16 voces, dispone que cada voz emita una altura determinada sin vibrato. En ambas obras, la textura ocupa el papel protagónico en la organización de la música.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lastRenderedPageBreak/>
        <w:t>II. RUPTURA CON EL CONCEPTO DE OBRA MUSICAL.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La armonía colorística, la atonalidad, la búsqueda de otros sistemas de afinación, la consideración de sonidos de altura indefinida y la emancipación de otros parámetros musicales implica una ruptura con la tonalidad. Ante la ausencia de tonalidad, diversos compositores han buscado nuevos sistemas de organización, en algunos casos concebidos para su aplicación en diversas obras y en otros reducidos a un único ejemplo. El serialismo dodecafónico constituyó una primera propuesta, pero han surgido otras que además, han cuestionado la noción de obra musical como ente original y autónomo.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1. Nuevas propuestas de organización: Serialismo integral, música aleatoria, minimalismo.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francés Olivier Messiaen (1908-1992), en su obra </w:t>
      </w:r>
      <w:r w:rsidRPr="00770E71">
        <w:rPr>
          <w:rFonts w:ascii="Times New Roman" w:eastAsia="Times New Roman" w:hAnsi="Times New Roman" w:cs="Times New Roman"/>
          <w:i/>
          <w:iCs/>
          <w:color w:val="000000"/>
          <w:sz w:val="24"/>
          <w:szCs w:val="24"/>
          <w:lang w:eastAsia="es-CL"/>
        </w:rPr>
        <w:t>Cuarteto para el fin del tiempo</w:t>
      </w:r>
      <w:r w:rsidRPr="00770E71">
        <w:rPr>
          <w:rFonts w:ascii="Times New Roman" w:eastAsia="Times New Roman" w:hAnsi="Times New Roman" w:cs="Times New Roman"/>
          <w:color w:val="000000"/>
          <w:sz w:val="24"/>
          <w:szCs w:val="24"/>
          <w:lang w:eastAsia="es-CL"/>
        </w:rPr>
        <w:t xml:space="preserve"> (1940-1) para violín, violoncelo, clarinete y piano, usa esquemas rítmicos, secuencias de acordes, motivos reiterados y adaptación de cantos de pájaros en violín y clarinete. Messiaen realizó diversas exploraciones rítmicas y tímbricas.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francés Pierre Boulez (1925), en su obra </w:t>
      </w:r>
      <w:r w:rsidRPr="00770E71">
        <w:rPr>
          <w:rFonts w:ascii="Times New Roman" w:eastAsia="Times New Roman" w:hAnsi="Times New Roman" w:cs="Times New Roman"/>
          <w:i/>
          <w:iCs/>
          <w:color w:val="000000"/>
          <w:sz w:val="24"/>
          <w:szCs w:val="24"/>
          <w:lang w:eastAsia="es-CL"/>
        </w:rPr>
        <w:t>El martillo sin dueño</w:t>
      </w:r>
      <w:r w:rsidRPr="00770E71">
        <w:rPr>
          <w:rFonts w:ascii="Times New Roman" w:eastAsia="Times New Roman" w:hAnsi="Times New Roman" w:cs="Times New Roman"/>
          <w:color w:val="000000"/>
          <w:sz w:val="24"/>
          <w:szCs w:val="24"/>
          <w:lang w:eastAsia="es-CL"/>
        </w:rPr>
        <w:t xml:space="preserve"> (1953-5) sobre poemas de René Char para voz(alto), flauta alto, viola, guitarra, xilorimba y percusión, plasma sus búsquedas en torno al serialismo integral, es decir, la posibilidad de serializar no sólo las alturas, sino todo los parámetros musicales.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El estadounidense John Cage, ya mencionado, en su "obra"</w:t>
      </w:r>
      <w:r w:rsidRPr="00770E71">
        <w:rPr>
          <w:rFonts w:ascii="Times New Roman" w:eastAsia="Times New Roman" w:hAnsi="Times New Roman" w:cs="Times New Roman"/>
          <w:i/>
          <w:iCs/>
          <w:color w:val="000000"/>
          <w:sz w:val="24"/>
          <w:szCs w:val="24"/>
          <w:lang w:eastAsia="es-CL"/>
        </w:rPr>
        <w:t xml:space="preserve"> Concierto para piano y orquesta </w:t>
      </w:r>
      <w:r w:rsidRPr="00770E71">
        <w:rPr>
          <w:rFonts w:ascii="Times New Roman" w:eastAsia="Times New Roman" w:hAnsi="Times New Roman" w:cs="Times New Roman"/>
          <w:color w:val="000000"/>
          <w:sz w:val="24"/>
          <w:szCs w:val="24"/>
          <w:lang w:eastAsia="es-CL"/>
        </w:rPr>
        <w:t>(1957-8) no escribe una partitura maestra, permite diversas combinaciones (puede ser ejecutado, por ejemplo, sólo con flauta y piano), puede ser ejecutado simultáneamente con otras obras de Cage</w:t>
      </w:r>
      <w:r w:rsidRPr="00770E71">
        <w:rPr>
          <w:rFonts w:ascii="Times New Roman" w:eastAsia="Times New Roman" w:hAnsi="Times New Roman" w:cs="Times New Roman"/>
          <w:i/>
          <w:iCs/>
          <w:color w:val="000000"/>
          <w:sz w:val="24"/>
          <w:szCs w:val="24"/>
          <w:lang w:eastAsia="es-CL"/>
        </w:rPr>
        <w:t>, c</w:t>
      </w:r>
      <w:r w:rsidRPr="00770E71">
        <w:rPr>
          <w:rFonts w:ascii="Times New Roman" w:eastAsia="Times New Roman" w:hAnsi="Times New Roman" w:cs="Times New Roman"/>
          <w:color w:val="000000"/>
          <w:sz w:val="24"/>
          <w:szCs w:val="24"/>
          <w:lang w:eastAsia="es-CL"/>
        </w:rPr>
        <w:t>ada instrumento tiene un set de materiales que combina como quiere, siguiendo sólo ciertos límites de tiempo dados por el director. Esta propuesta se inscribe dentro de la llamada "música aleatoria", regida por el azar.</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greco-francés Iannis Xenakis (1922-2001), músico y arquitecto, basa su obra sinfónica </w:t>
      </w:r>
      <w:r w:rsidRPr="00770E71">
        <w:rPr>
          <w:rFonts w:ascii="Times New Roman" w:eastAsia="Times New Roman" w:hAnsi="Times New Roman" w:cs="Times New Roman"/>
          <w:i/>
          <w:iCs/>
          <w:color w:val="000000"/>
          <w:sz w:val="24"/>
          <w:szCs w:val="24"/>
          <w:lang w:eastAsia="es-CL"/>
        </w:rPr>
        <w:t>Metástasis</w:t>
      </w:r>
      <w:r w:rsidRPr="00770E71">
        <w:rPr>
          <w:rFonts w:ascii="Times New Roman" w:eastAsia="Times New Roman" w:hAnsi="Times New Roman" w:cs="Times New Roman"/>
          <w:color w:val="000000"/>
          <w:sz w:val="24"/>
          <w:szCs w:val="24"/>
          <w:lang w:eastAsia="es-CL"/>
        </w:rPr>
        <w:t xml:space="preserve"> (1953-4) en el trabajo altamente ordenado de dos tipos de acontecimientos sonoros: los puntuales (</w:t>
      </w:r>
      <w:r w:rsidRPr="00770E71">
        <w:rPr>
          <w:rFonts w:ascii="Times New Roman" w:eastAsia="Times New Roman" w:hAnsi="Times New Roman" w:cs="Times New Roman"/>
          <w:i/>
          <w:iCs/>
          <w:color w:val="000000"/>
          <w:sz w:val="24"/>
          <w:szCs w:val="24"/>
          <w:lang w:eastAsia="es-CL"/>
        </w:rPr>
        <w:t>pizzicati</w:t>
      </w:r>
      <w:r w:rsidRPr="00770E71">
        <w:rPr>
          <w:rFonts w:ascii="Times New Roman" w:eastAsia="Times New Roman" w:hAnsi="Times New Roman" w:cs="Times New Roman"/>
          <w:color w:val="000000"/>
          <w:sz w:val="24"/>
          <w:szCs w:val="24"/>
          <w:lang w:eastAsia="es-CL"/>
        </w:rPr>
        <w:t>, percusión) y los de variación constante (</w:t>
      </w:r>
      <w:r w:rsidRPr="00770E71">
        <w:rPr>
          <w:rFonts w:ascii="Times New Roman" w:eastAsia="Times New Roman" w:hAnsi="Times New Roman" w:cs="Times New Roman"/>
          <w:i/>
          <w:iCs/>
          <w:color w:val="000000"/>
          <w:sz w:val="24"/>
          <w:szCs w:val="24"/>
          <w:lang w:eastAsia="es-CL"/>
        </w:rPr>
        <w:t>glissandi</w:t>
      </w:r>
      <w:r w:rsidRPr="00770E71">
        <w:rPr>
          <w:rFonts w:ascii="Times New Roman" w:eastAsia="Times New Roman" w:hAnsi="Times New Roman" w:cs="Times New Roman"/>
          <w:color w:val="000000"/>
          <w:sz w:val="24"/>
          <w:szCs w:val="24"/>
          <w:lang w:eastAsia="es-CL"/>
        </w:rPr>
        <w:t xml:space="preserve">, </w:t>
      </w:r>
      <w:r w:rsidRPr="00770E71">
        <w:rPr>
          <w:rFonts w:ascii="Times New Roman" w:eastAsia="Times New Roman" w:hAnsi="Times New Roman" w:cs="Times New Roman"/>
          <w:i/>
          <w:iCs/>
          <w:color w:val="000000"/>
          <w:sz w:val="24"/>
          <w:szCs w:val="24"/>
          <w:lang w:eastAsia="es-CL"/>
        </w:rPr>
        <w:t>crescendi</w:t>
      </w:r>
      <w:r w:rsidRPr="00770E71">
        <w:rPr>
          <w:rFonts w:ascii="Times New Roman" w:eastAsia="Times New Roman" w:hAnsi="Times New Roman" w:cs="Times New Roman"/>
          <w:color w:val="000000"/>
          <w:sz w:val="24"/>
          <w:szCs w:val="24"/>
          <w:lang w:eastAsia="es-CL"/>
        </w:rPr>
        <w:t>). Después de esta obra, Xenakis explora la aplicación de diversos modelos matemáticos a su música, como la estocástica (aplicación de teoría de las probabilidades), la teoría de los juegos, la teoría de los grupos, la lógica simbólica y el álgebra de Boole.</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estadounidense Philip Glass (1937) es uno de los representantes de la corriente conocida como "minimalismo" que, al igual que su equivalente en artes visuales, busca trabajar con los elementos más esenciales de la música, como acontece con </w:t>
      </w:r>
      <w:r w:rsidRPr="00770E71">
        <w:rPr>
          <w:rFonts w:ascii="Times New Roman" w:eastAsia="Times New Roman" w:hAnsi="Times New Roman" w:cs="Times New Roman"/>
          <w:i/>
          <w:iCs/>
          <w:color w:val="000000"/>
          <w:sz w:val="24"/>
          <w:szCs w:val="24"/>
          <w:lang w:eastAsia="es-CL"/>
        </w:rPr>
        <w:t>Floe</w:t>
      </w:r>
      <w:r w:rsidRPr="00770E71">
        <w:rPr>
          <w:rFonts w:ascii="Times New Roman" w:eastAsia="Times New Roman" w:hAnsi="Times New Roman" w:cs="Times New Roman"/>
          <w:color w:val="000000"/>
          <w:sz w:val="24"/>
          <w:szCs w:val="24"/>
          <w:lang w:eastAsia="es-CL"/>
        </w:rPr>
        <w:t xml:space="preserve"> (1981), una obra para 2 flautas, 2 saxos soprano, 2 saxos tenor, 2 cornos y sintetizador, basada fundamentalmente en la alternancia de dos acordes cercanos.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Compositores como el lituano Arvo Pärt (1935) han sido tildados como "minimalistas sacros" debido a su interés en la música religiosa y sus tradiciones. </w:t>
      </w:r>
      <w:r w:rsidRPr="00770E71">
        <w:rPr>
          <w:rFonts w:ascii="Times New Roman" w:eastAsia="Times New Roman" w:hAnsi="Times New Roman" w:cs="Times New Roman"/>
          <w:i/>
          <w:iCs/>
          <w:color w:val="000000"/>
          <w:sz w:val="24"/>
          <w:szCs w:val="24"/>
          <w:lang w:eastAsia="es-CL"/>
        </w:rPr>
        <w:t>Magnificat</w:t>
      </w:r>
      <w:r w:rsidRPr="00770E71">
        <w:rPr>
          <w:rFonts w:ascii="Times New Roman" w:eastAsia="Times New Roman" w:hAnsi="Times New Roman" w:cs="Times New Roman"/>
          <w:color w:val="000000"/>
          <w:sz w:val="24"/>
          <w:szCs w:val="24"/>
          <w:lang w:eastAsia="es-CL"/>
        </w:rPr>
        <w:t xml:space="preserve"> (1989) es una obra para coro mixto donde se presenta la "tintinnabulatio", estilo desarrollado por Pärt a partir de los toques de campanas, con clara reminiscencia tonal (las 3 notas de la tríada las considera como "campanas").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lastRenderedPageBreak/>
        <w:t> </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2. Crisis del concepto de originalidad:</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2.1. Papel del compositor, del intérprete, del público. En obras como aquellas de John Cage, el intérprete asume un papel creativo fundamental, el compositor se limita a entregar desde redes de opciones hasta pautas muy vagas y generales. </w:t>
      </w:r>
      <w:r w:rsidRPr="00770E71">
        <w:rPr>
          <w:rFonts w:ascii="Times New Roman" w:eastAsia="Times New Roman" w:hAnsi="Times New Roman" w:cs="Times New Roman"/>
          <w:i/>
          <w:iCs/>
          <w:color w:val="000000"/>
          <w:sz w:val="24"/>
          <w:szCs w:val="24"/>
          <w:lang w:eastAsia="es-CL"/>
        </w:rPr>
        <w:t>4'33''</w:t>
      </w:r>
      <w:r w:rsidRPr="00770E71">
        <w:rPr>
          <w:rFonts w:ascii="Times New Roman" w:eastAsia="Times New Roman" w:hAnsi="Times New Roman" w:cs="Times New Roman"/>
          <w:color w:val="000000"/>
          <w:sz w:val="24"/>
          <w:szCs w:val="24"/>
          <w:lang w:eastAsia="es-CL"/>
        </w:rPr>
        <w:t xml:space="preserve"> de Cage es una propuesta donde se puede considerar que son el público y el medio ambiente los que "realizan la obra".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2.2. Música e intetextualidad: hacia el posmodernismo</w:t>
      </w:r>
      <w:bookmarkStart w:id="2" w:name="_ftnref2"/>
      <w:r w:rsidRPr="00770E71">
        <w:rPr>
          <w:rFonts w:ascii="Times New Roman" w:eastAsia="Times New Roman" w:hAnsi="Times New Roman" w:cs="Times New Roman"/>
          <w:color w:val="000000"/>
          <w:sz w:val="24"/>
          <w:szCs w:val="24"/>
          <w:lang w:eastAsia="es-CL"/>
        </w:rPr>
        <w:fldChar w:fldCharType="begin"/>
      </w:r>
      <w:r w:rsidRPr="00770E71">
        <w:rPr>
          <w:rFonts w:ascii="Times New Roman" w:eastAsia="Times New Roman" w:hAnsi="Times New Roman" w:cs="Times New Roman"/>
          <w:color w:val="000000"/>
          <w:sz w:val="24"/>
          <w:szCs w:val="24"/>
          <w:lang w:eastAsia="es-CL"/>
        </w:rPr>
        <w:instrText xml:space="preserve"> HYPERLINK "http://cms.tierra-larga-de-nunoa.webnode.cl/portafolio/" \l "_ftn2" \o "" </w:instrText>
      </w:r>
      <w:r w:rsidRPr="00770E71">
        <w:rPr>
          <w:rFonts w:ascii="Times New Roman" w:eastAsia="Times New Roman" w:hAnsi="Times New Roman" w:cs="Times New Roman"/>
          <w:color w:val="000000"/>
          <w:sz w:val="24"/>
          <w:szCs w:val="24"/>
          <w:lang w:eastAsia="es-CL"/>
        </w:rPr>
        <w:fldChar w:fldCharType="separate"/>
      </w:r>
      <w:r w:rsidRPr="00770E71">
        <w:rPr>
          <w:rFonts w:ascii="Times New Roman" w:eastAsia="Times New Roman" w:hAnsi="Times New Roman" w:cs="Times New Roman"/>
          <w:color w:val="0000FF"/>
          <w:sz w:val="24"/>
          <w:szCs w:val="24"/>
          <w:u w:val="single"/>
          <w:lang w:eastAsia="es-CL"/>
        </w:rPr>
        <w:t>[2]</w:t>
      </w:r>
      <w:r w:rsidRPr="00770E71">
        <w:rPr>
          <w:rFonts w:ascii="Times New Roman" w:eastAsia="Times New Roman" w:hAnsi="Times New Roman" w:cs="Times New Roman"/>
          <w:color w:val="000000"/>
          <w:sz w:val="24"/>
          <w:szCs w:val="24"/>
          <w:lang w:eastAsia="es-CL"/>
        </w:rPr>
        <w:fldChar w:fldCharType="end"/>
      </w:r>
      <w:bookmarkEnd w:id="2"/>
      <w:r w:rsidRPr="00770E71">
        <w:rPr>
          <w:rFonts w:ascii="Times New Roman" w:eastAsia="Times New Roman" w:hAnsi="Times New Roman" w:cs="Times New Roman"/>
          <w:color w:val="000000"/>
          <w:sz w:val="24"/>
          <w:szCs w:val="24"/>
          <w:lang w:eastAsia="es-CL"/>
        </w:rPr>
        <w:t>. El término "intertextualidad" procede de la teoría literaria del ruso M. Bajtin y refiere al conjunto de las relaciones que se ponen de manifiesto en el interior de un texto determinado y que acercan ese texto tanto a otros textos del mismo autor como a modelos literarios explícitos o implícitos a los que se puede hacer referencia. El caso más evidente es la cita. Esta noción pone en interrogación a la noción decimonónica de "originalidad".</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En música, la intertextualidad se da a través de diversas categorías de citas, en algunos casos con intención paródica. Néstor García Canclini considera que "el pensamiento posmoderno abandonó la estética de la ruptura y propuso revalorar distintas tradiciones, auspició la cita y la parodia del pasado más que la invención de formas enteramente inéditas".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Un precursor de la parodia en la música del siglo XX es el francés Erik Satie (1866-1925). Por ejemplo, en su colección de piezas para piano </w:t>
      </w:r>
      <w:r w:rsidRPr="00770E71">
        <w:rPr>
          <w:rFonts w:ascii="Times New Roman" w:eastAsia="Times New Roman" w:hAnsi="Times New Roman" w:cs="Times New Roman"/>
          <w:i/>
          <w:iCs/>
          <w:color w:val="000000"/>
          <w:sz w:val="24"/>
          <w:szCs w:val="24"/>
          <w:lang w:eastAsia="es-CL"/>
        </w:rPr>
        <w:t>Embriones disecados</w:t>
      </w:r>
      <w:r w:rsidRPr="00770E71">
        <w:rPr>
          <w:rFonts w:ascii="Times New Roman" w:eastAsia="Times New Roman" w:hAnsi="Times New Roman" w:cs="Times New Roman"/>
          <w:color w:val="000000"/>
          <w:sz w:val="24"/>
          <w:szCs w:val="24"/>
          <w:lang w:eastAsia="es-CL"/>
        </w:rPr>
        <w:t xml:space="preserve"> (1913) incluye "Edriophthalma (definido como "crustáceo de naturaleza melancólica")", donde realiza una parodia de la </w:t>
      </w:r>
      <w:r w:rsidRPr="00770E71">
        <w:rPr>
          <w:rFonts w:ascii="Times New Roman" w:eastAsia="Times New Roman" w:hAnsi="Times New Roman" w:cs="Times New Roman"/>
          <w:i/>
          <w:iCs/>
          <w:color w:val="000000"/>
          <w:sz w:val="24"/>
          <w:szCs w:val="24"/>
          <w:lang w:eastAsia="es-CL"/>
        </w:rPr>
        <w:t>Marcha Fúnebre</w:t>
      </w:r>
      <w:r w:rsidRPr="00770E71">
        <w:rPr>
          <w:rFonts w:ascii="Times New Roman" w:eastAsia="Times New Roman" w:hAnsi="Times New Roman" w:cs="Times New Roman"/>
          <w:color w:val="000000"/>
          <w:sz w:val="24"/>
          <w:szCs w:val="24"/>
          <w:lang w:eastAsia="es-CL"/>
        </w:rPr>
        <w:t xml:space="preserve"> de Chopin (citada en la partitura como "Mazurca de Schubert").</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3. Crisis del concepto de autonomía: Música y contexto.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Frente a la pretendida autonomía de la obra de arte musical, surgen diversas posturas y corrientes que postulan el compromiso histórico y político del artista con un proyecto de sociedad. El italiano Luigi Nono (1924-1990), en su obra </w:t>
      </w:r>
      <w:r w:rsidRPr="00770E71">
        <w:rPr>
          <w:rFonts w:ascii="Times New Roman" w:eastAsia="Times New Roman" w:hAnsi="Times New Roman" w:cs="Times New Roman"/>
          <w:i/>
          <w:iCs/>
          <w:color w:val="000000"/>
          <w:sz w:val="24"/>
          <w:szCs w:val="24"/>
          <w:lang w:eastAsia="es-CL"/>
        </w:rPr>
        <w:t>Como una ola de fuerza y luz</w:t>
      </w:r>
      <w:r w:rsidRPr="00770E71">
        <w:rPr>
          <w:rFonts w:ascii="Times New Roman" w:eastAsia="Times New Roman" w:hAnsi="Times New Roman" w:cs="Times New Roman"/>
          <w:color w:val="000000"/>
          <w:sz w:val="24"/>
          <w:szCs w:val="24"/>
          <w:lang w:eastAsia="es-CL"/>
        </w:rPr>
        <w:t xml:space="preserve"> (1971-2), pone en música un poema escrito por un latinoamericano con ocasión de la muerte del revolucionario Luciano Cruz. Y a su vez, el polaco Henryk Górecki (1933), en el segundo movimiento de su </w:t>
      </w:r>
      <w:r w:rsidRPr="00770E71">
        <w:rPr>
          <w:rFonts w:ascii="Times New Roman" w:eastAsia="Times New Roman" w:hAnsi="Times New Roman" w:cs="Times New Roman"/>
          <w:i/>
          <w:iCs/>
          <w:color w:val="000000"/>
          <w:sz w:val="24"/>
          <w:szCs w:val="24"/>
          <w:lang w:eastAsia="es-CL"/>
        </w:rPr>
        <w:t>Sinfonía Nº3 "De los Lamentos"</w:t>
      </w:r>
      <w:r w:rsidRPr="00770E71">
        <w:rPr>
          <w:rFonts w:ascii="Times New Roman" w:eastAsia="Times New Roman" w:hAnsi="Times New Roman" w:cs="Times New Roman"/>
          <w:color w:val="000000"/>
          <w:sz w:val="24"/>
          <w:szCs w:val="24"/>
          <w:lang w:eastAsia="es-CL"/>
        </w:rPr>
        <w:t xml:space="preserve"> (1976), pone en música la oración de una chica prisionera de la Gestapo durante la Segunda Guerra Mundial, grabada en la pared de su celda.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4. Pluralidad de conceptos de música.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El filósofo y músico Lewis Rowell, en su libro </w:t>
      </w:r>
      <w:r w:rsidRPr="00770E71">
        <w:rPr>
          <w:rFonts w:ascii="Times New Roman" w:eastAsia="Times New Roman" w:hAnsi="Times New Roman" w:cs="Times New Roman"/>
          <w:i/>
          <w:iCs/>
          <w:color w:val="000000"/>
          <w:sz w:val="24"/>
          <w:szCs w:val="24"/>
          <w:lang w:eastAsia="es-CL"/>
        </w:rPr>
        <w:t>Introducción a la filosofía de la música</w:t>
      </w:r>
      <w:r w:rsidRPr="00770E71">
        <w:rPr>
          <w:rFonts w:ascii="Times New Roman" w:eastAsia="Times New Roman" w:hAnsi="Times New Roman" w:cs="Times New Roman"/>
          <w:color w:val="000000"/>
          <w:sz w:val="24"/>
          <w:szCs w:val="24"/>
          <w:lang w:eastAsia="es-CL"/>
        </w:rPr>
        <w:t xml:space="preserve"> (Barcelona: Gedisa, 1996, pp.230 y ss), plantea la existencia de cinco conceptos distintos sobre música predominantes en el panorama contemporáneo:</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lastRenderedPageBreak/>
        <w:t> </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4.1. </w:t>
      </w:r>
      <w:r w:rsidRPr="00770E71">
        <w:rPr>
          <w:rFonts w:ascii="Times New Roman" w:eastAsia="Times New Roman" w:hAnsi="Times New Roman" w:cs="Times New Roman"/>
          <w:color w:val="000000"/>
          <w:sz w:val="24"/>
          <w:szCs w:val="24"/>
          <w:u w:val="single"/>
          <w:lang w:eastAsia="es-CL"/>
        </w:rPr>
        <w:t>Música como objeto</w:t>
      </w:r>
      <w:r w:rsidRPr="00770E71">
        <w:rPr>
          <w:rFonts w:ascii="Times New Roman" w:eastAsia="Times New Roman" w:hAnsi="Times New Roman" w:cs="Times New Roman"/>
          <w:color w:val="000000"/>
          <w:sz w:val="24"/>
          <w:szCs w:val="24"/>
          <w:lang w:eastAsia="es-CL"/>
        </w:rPr>
        <w:t>: se acentúan sus cualidades tradicionales como "cosa", permanencia y estructura. Es el concepto más cercano al de "Obra" y al repertorio tradicional.</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4.2. </w:t>
      </w:r>
      <w:r w:rsidRPr="00770E71">
        <w:rPr>
          <w:rFonts w:ascii="Times New Roman" w:eastAsia="Times New Roman" w:hAnsi="Times New Roman" w:cs="Times New Roman"/>
          <w:color w:val="000000"/>
          <w:sz w:val="24"/>
          <w:szCs w:val="24"/>
          <w:u w:val="single"/>
          <w:lang w:eastAsia="es-CL"/>
        </w:rPr>
        <w:t>Música como proceso</w:t>
      </w:r>
      <w:r w:rsidRPr="00770E71">
        <w:rPr>
          <w:rFonts w:ascii="Times New Roman" w:eastAsia="Times New Roman" w:hAnsi="Times New Roman" w:cs="Times New Roman"/>
          <w:color w:val="000000"/>
          <w:sz w:val="24"/>
          <w:szCs w:val="24"/>
          <w:lang w:eastAsia="es-CL"/>
        </w:rPr>
        <w:t>: se hace énfasis en sus propiedades dinámicas: cambio, movimiento y energía. Aquí caben las emancipaciones del ritmo, el timbre, la textura y la intensidad.</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4.3. </w:t>
      </w:r>
      <w:r w:rsidRPr="00770E71">
        <w:rPr>
          <w:rFonts w:ascii="Times New Roman" w:eastAsia="Times New Roman" w:hAnsi="Times New Roman" w:cs="Times New Roman"/>
          <w:color w:val="000000"/>
          <w:sz w:val="24"/>
          <w:szCs w:val="24"/>
          <w:u w:val="single"/>
          <w:lang w:eastAsia="es-CL"/>
        </w:rPr>
        <w:t>Música como estado</w:t>
      </w:r>
      <w:r w:rsidRPr="00770E71">
        <w:rPr>
          <w:rFonts w:ascii="Times New Roman" w:eastAsia="Times New Roman" w:hAnsi="Times New Roman" w:cs="Times New Roman"/>
          <w:color w:val="000000"/>
          <w:sz w:val="24"/>
          <w:szCs w:val="24"/>
          <w:lang w:eastAsia="es-CL"/>
        </w:rPr>
        <w:t>: la música en forma de puro "ser" con unidad y estancamiento como características principales. Obras minimalistas o masas sonoras, incluso seriales: insinuación de atemporalidad.</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4.4. </w:t>
      </w:r>
      <w:r w:rsidRPr="00770E71">
        <w:rPr>
          <w:rFonts w:ascii="Times New Roman" w:eastAsia="Times New Roman" w:hAnsi="Times New Roman" w:cs="Times New Roman"/>
          <w:color w:val="000000"/>
          <w:sz w:val="24"/>
          <w:szCs w:val="24"/>
          <w:u w:val="single"/>
          <w:lang w:eastAsia="es-CL"/>
        </w:rPr>
        <w:t>Música como situación</w:t>
      </w:r>
      <w:r w:rsidRPr="00770E71">
        <w:rPr>
          <w:rFonts w:ascii="Times New Roman" w:eastAsia="Times New Roman" w:hAnsi="Times New Roman" w:cs="Times New Roman"/>
          <w:color w:val="000000"/>
          <w:sz w:val="24"/>
          <w:szCs w:val="24"/>
          <w:lang w:eastAsia="es-CL"/>
        </w:rPr>
        <w:t>: la interacción espontánea de las personalidades actuantes. Música aleatoria e indeterminada.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4.5. </w:t>
      </w:r>
      <w:r w:rsidRPr="00770E71">
        <w:rPr>
          <w:rFonts w:ascii="Times New Roman" w:eastAsia="Times New Roman" w:hAnsi="Times New Roman" w:cs="Times New Roman"/>
          <w:color w:val="000000"/>
          <w:sz w:val="24"/>
          <w:szCs w:val="24"/>
          <w:u w:val="single"/>
          <w:lang w:eastAsia="es-CL"/>
        </w:rPr>
        <w:t>Música como campo</w:t>
      </w:r>
      <w:r w:rsidRPr="00770E71">
        <w:rPr>
          <w:rFonts w:ascii="Times New Roman" w:eastAsia="Times New Roman" w:hAnsi="Times New Roman" w:cs="Times New Roman"/>
          <w:color w:val="000000"/>
          <w:sz w:val="24"/>
          <w:szCs w:val="24"/>
          <w:lang w:eastAsia="es-CL"/>
        </w:rPr>
        <w:t>: un terreno o dominio circunscrito en el que ocurren los hechos, sólo regido por las leyes de la probabilidad. Propuestas aleatorias, místicas y otras. Música que puede ser hecha sólo una vez y después sólo puede ser "contada".</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Cada uno de estos conceptos aparece cruzado por ideas diversas de temporalidad, control/descontrol, espacialidad, etc.</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xml:space="preserve"> La música electrónica, desarrollada después de la Segunda Guerra Mundial, reúne en sí misma varios elementos de ruptura que hemos mencionado. Se trata de una gran apertura a nuevas invenciones tímbricas, nuevas posibilidades de organización de la estructura musical, nuevos conceptos de música, etc. Una obra señera en este campo ha sido </w:t>
      </w:r>
      <w:r w:rsidR="00867328">
        <w:rPr>
          <w:rFonts w:ascii="Times New Roman" w:eastAsia="Times New Roman" w:hAnsi="Times New Roman" w:cs="Times New Roman"/>
          <w:i/>
          <w:iCs/>
          <w:color w:val="000000"/>
          <w:sz w:val="24"/>
          <w:szCs w:val="24"/>
          <w:lang w:eastAsia="es-CL"/>
        </w:rPr>
        <w:t>Gesang der Jünglinge</w:t>
      </w:r>
      <w:r w:rsidRPr="00770E71">
        <w:rPr>
          <w:rFonts w:ascii="Times New Roman" w:eastAsia="Times New Roman" w:hAnsi="Times New Roman" w:cs="Times New Roman"/>
          <w:color w:val="000000"/>
          <w:sz w:val="24"/>
          <w:szCs w:val="24"/>
          <w:lang w:eastAsia="es-CL"/>
        </w:rPr>
        <w:t>(1955-56) de Karlheinz Stockhausen (1928), música electrónica hecha a partir de la voz de un niño que entona el "Cántico de los Tres Jóvenes" (un poema que aparece en una sección deuterocanónica del libro de Daniel en el Antiguo Testamento) mezclada con sonidos electrónicos a través de cinco altavoces independientes.</w:t>
      </w:r>
    </w:p>
    <w:p w:rsidR="00770E71" w:rsidRPr="00770E71" w:rsidRDefault="00770E71" w:rsidP="00770E71">
      <w:pPr>
        <w:spacing w:before="100" w:beforeAutospacing="1" w:after="100" w:afterAutospacing="1"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t> </w:t>
      </w:r>
    </w:p>
    <w:p w:rsidR="00770E71" w:rsidRPr="00770E71" w:rsidRDefault="00770E71" w:rsidP="00770E71">
      <w:pPr>
        <w:spacing w:after="0"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br w:type="textWrapping" w:clear="all"/>
      </w:r>
    </w:p>
    <w:p w:rsidR="00770E71" w:rsidRPr="00770E71" w:rsidRDefault="006D4794" w:rsidP="00770E71">
      <w:pPr>
        <w:spacing w:after="0" w:line="240" w:lineRule="auto"/>
        <w:rPr>
          <w:rFonts w:ascii="Times New Roman" w:eastAsia="Times New Roman" w:hAnsi="Times New Roman" w:cs="Times New Roman"/>
          <w:color w:val="000000"/>
          <w:sz w:val="24"/>
          <w:szCs w:val="24"/>
          <w:lang w:eastAsia="es-CL"/>
        </w:rPr>
      </w:pPr>
      <w:r>
        <w:rPr>
          <w:rFonts w:ascii="Times New Roman" w:eastAsia="Times New Roman" w:hAnsi="Times New Roman" w:cs="Times New Roman"/>
          <w:color w:val="000000"/>
          <w:sz w:val="24"/>
          <w:szCs w:val="24"/>
          <w:lang w:eastAsia="es-CL"/>
        </w:rPr>
        <w:pict>
          <v:rect id="_x0000_i1025" style="width:145.85pt;height:.75pt" o:hrpct="330" o:hrstd="t" o:hr="t" fillcolor="#a0a0a0" stroked="f"/>
        </w:pict>
      </w:r>
    </w:p>
    <w:p w:rsidR="00770E71" w:rsidRPr="00770E71" w:rsidRDefault="00770E71" w:rsidP="00770E71">
      <w:pPr>
        <w:spacing w:after="0" w:line="240" w:lineRule="auto"/>
        <w:rPr>
          <w:rFonts w:ascii="Times New Roman" w:eastAsia="Times New Roman" w:hAnsi="Times New Roman" w:cs="Times New Roman"/>
          <w:color w:val="000000"/>
          <w:sz w:val="24"/>
          <w:szCs w:val="24"/>
          <w:lang w:eastAsia="es-CL"/>
        </w:rPr>
      </w:pPr>
      <w:r w:rsidRPr="00770E71">
        <w:rPr>
          <w:rFonts w:ascii="Times New Roman" w:eastAsia="Times New Roman" w:hAnsi="Times New Roman" w:cs="Times New Roman"/>
          <w:color w:val="000000"/>
          <w:sz w:val="24"/>
          <w:szCs w:val="24"/>
          <w:lang w:eastAsia="es-CL"/>
        </w:rPr>
        <w:br/>
      </w:r>
      <w:r w:rsidRPr="00770E71">
        <w:rPr>
          <w:rFonts w:ascii="Times New Roman" w:eastAsia="Times New Roman" w:hAnsi="Times New Roman" w:cs="Times New Roman"/>
          <w:color w:val="000000"/>
          <w:sz w:val="24"/>
          <w:szCs w:val="24"/>
          <w:lang w:eastAsia="es-CL"/>
        </w:rPr>
        <w:br/>
      </w:r>
    </w:p>
    <w:p w:rsidR="003847A4" w:rsidRDefault="003847A4"/>
    <w:sectPr w:rsidR="003847A4">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794" w:rsidRDefault="006D4794" w:rsidP="007558F7">
      <w:pPr>
        <w:spacing w:after="0" w:line="240" w:lineRule="auto"/>
      </w:pPr>
      <w:r>
        <w:separator/>
      </w:r>
    </w:p>
  </w:endnote>
  <w:endnote w:type="continuationSeparator" w:id="0">
    <w:p w:rsidR="006D4794" w:rsidRDefault="006D4794" w:rsidP="0075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9162003"/>
      <w:docPartObj>
        <w:docPartGallery w:val="Page Numbers (Bottom of Page)"/>
        <w:docPartUnique/>
      </w:docPartObj>
    </w:sdtPr>
    <w:sdtEndPr/>
    <w:sdtContent>
      <w:p w:rsidR="007558F7" w:rsidRDefault="007558F7">
        <w:pPr>
          <w:pStyle w:val="Piedepgina"/>
          <w:jc w:val="right"/>
        </w:pPr>
        <w:r>
          <w:fldChar w:fldCharType="begin"/>
        </w:r>
        <w:r>
          <w:instrText>PAGE   \* MERGEFORMAT</w:instrText>
        </w:r>
        <w:r>
          <w:fldChar w:fldCharType="separate"/>
        </w:r>
        <w:r w:rsidR="0005323C" w:rsidRPr="0005323C">
          <w:rPr>
            <w:noProof/>
            <w:lang w:val="es-ES"/>
          </w:rPr>
          <w:t>1</w:t>
        </w:r>
        <w:r>
          <w:fldChar w:fldCharType="end"/>
        </w:r>
      </w:p>
    </w:sdtContent>
  </w:sdt>
  <w:p w:rsidR="007558F7" w:rsidRDefault="007558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794" w:rsidRDefault="006D4794" w:rsidP="007558F7">
      <w:pPr>
        <w:spacing w:after="0" w:line="240" w:lineRule="auto"/>
      </w:pPr>
      <w:r>
        <w:separator/>
      </w:r>
    </w:p>
  </w:footnote>
  <w:footnote w:type="continuationSeparator" w:id="0">
    <w:p w:rsidR="006D4794" w:rsidRDefault="006D4794" w:rsidP="00755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23B57"/>
    <w:multiLevelType w:val="multilevel"/>
    <w:tmpl w:val="5D26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E71"/>
    <w:rsid w:val="0005323C"/>
    <w:rsid w:val="003847A4"/>
    <w:rsid w:val="006D4794"/>
    <w:rsid w:val="007558F7"/>
    <w:rsid w:val="00770E71"/>
    <w:rsid w:val="00783568"/>
    <w:rsid w:val="00867328"/>
    <w:rsid w:val="00C315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4E52F2-CC77-4AA0-B124-CD78B926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558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58F7"/>
  </w:style>
  <w:style w:type="paragraph" w:styleId="Piedepgina">
    <w:name w:val="footer"/>
    <w:basedOn w:val="Normal"/>
    <w:link w:val="PiedepginaCar"/>
    <w:uiPriority w:val="99"/>
    <w:unhideWhenUsed/>
    <w:rsid w:val="007558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58F7"/>
  </w:style>
  <w:style w:type="paragraph" w:styleId="Textodeglobo">
    <w:name w:val="Balloon Text"/>
    <w:basedOn w:val="Normal"/>
    <w:link w:val="TextodegloboCar"/>
    <w:uiPriority w:val="99"/>
    <w:semiHidden/>
    <w:unhideWhenUsed/>
    <w:rsid w:val="007558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558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296104">
      <w:bodyDiv w:val="1"/>
      <w:marLeft w:val="0"/>
      <w:marRight w:val="0"/>
      <w:marTop w:val="0"/>
      <w:marBottom w:val="0"/>
      <w:divBdr>
        <w:top w:val="none" w:sz="0" w:space="0" w:color="auto"/>
        <w:left w:val="none" w:sz="0" w:space="0" w:color="auto"/>
        <w:bottom w:val="none" w:sz="0" w:space="0" w:color="auto"/>
        <w:right w:val="none" w:sz="0" w:space="0" w:color="auto"/>
      </w:divBdr>
      <w:divsChild>
        <w:div w:id="1779063088">
          <w:marLeft w:val="0"/>
          <w:marRight w:val="0"/>
          <w:marTop w:val="0"/>
          <w:marBottom w:val="0"/>
          <w:divBdr>
            <w:top w:val="none" w:sz="0" w:space="0" w:color="auto"/>
            <w:left w:val="none" w:sz="0" w:space="0" w:color="auto"/>
            <w:bottom w:val="none" w:sz="0" w:space="0" w:color="auto"/>
            <w:right w:val="none" w:sz="0" w:space="0" w:color="auto"/>
          </w:divBdr>
          <w:divsChild>
            <w:div w:id="1078746778">
              <w:marLeft w:val="0"/>
              <w:marRight w:val="0"/>
              <w:marTop w:val="0"/>
              <w:marBottom w:val="0"/>
              <w:divBdr>
                <w:top w:val="none" w:sz="0" w:space="0" w:color="auto"/>
                <w:left w:val="none" w:sz="0" w:space="0" w:color="auto"/>
                <w:bottom w:val="none" w:sz="0" w:space="0" w:color="auto"/>
                <w:right w:val="none" w:sz="0" w:space="0" w:color="auto"/>
              </w:divBdr>
              <w:divsChild>
                <w:div w:id="1884706030">
                  <w:marLeft w:val="0"/>
                  <w:marRight w:val="0"/>
                  <w:marTop w:val="0"/>
                  <w:marBottom w:val="0"/>
                  <w:divBdr>
                    <w:top w:val="none" w:sz="0" w:space="0" w:color="auto"/>
                    <w:left w:val="none" w:sz="0" w:space="0" w:color="auto"/>
                    <w:bottom w:val="none" w:sz="0" w:space="0" w:color="auto"/>
                    <w:right w:val="none" w:sz="0" w:space="0" w:color="auto"/>
                  </w:divBdr>
                  <w:divsChild>
                    <w:div w:id="990524769">
                      <w:marLeft w:val="0"/>
                      <w:marRight w:val="0"/>
                      <w:marTop w:val="0"/>
                      <w:marBottom w:val="0"/>
                      <w:divBdr>
                        <w:top w:val="none" w:sz="0" w:space="0" w:color="auto"/>
                        <w:left w:val="none" w:sz="0" w:space="0" w:color="auto"/>
                        <w:bottom w:val="none" w:sz="0" w:space="0" w:color="auto"/>
                        <w:right w:val="none" w:sz="0" w:space="0" w:color="auto"/>
                      </w:divBdr>
                      <w:divsChild>
                        <w:div w:id="1866745402">
                          <w:marLeft w:val="0"/>
                          <w:marRight w:val="0"/>
                          <w:marTop w:val="0"/>
                          <w:marBottom w:val="0"/>
                          <w:divBdr>
                            <w:top w:val="none" w:sz="0" w:space="0" w:color="auto"/>
                            <w:left w:val="none" w:sz="0" w:space="0" w:color="auto"/>
                            <w:bottom w:val="none" w:sz="0" w:space="0" w:color="auto"/>
                            <w:right w:val="none" w:sz="0" w:space="0" w:color="auto"/>
                          </w:divBdr>
                          <w:divsChild>
                            <w:div w:id="1360545953">
                              <w:marLeft w:val="0"/>
                              <w:marRight w:val="0"/>
                              <w:marTop w:val="0"/>
                              <w:marBottom w:val="0"/>
                              <w:divBdr>
                                <w:top w:val="none" w:sz="0" w:space="0" w:color="auto"/>
                                <w:left w:val="none" w:sz="0" w:space="0" w:color="auto"/>
                                <w:bottom w:val="none" w:sz="0" w:space="0" w:color="auto"/>
                                <w:right w:val="none" w:sz="0" w:space="0" w:color="auto"/>
                              </w:divBdr>
                              <w:divsChild>
                                <w:div w:id="1406030726">
                                  <w:marLeft w:val="0"/>
                                  <w:marRight w:val="0"/>
                                  <w:marTop w:val="0"/>
                                  <w:marBottom w:val="0"/>
                                  <w:divBdr>
                                    <w:top w:val="none" w:sz="0" w:space="0" w:color="auto"/>
                                    <w:left w:val="none" w:sz="0" w:space="0" w:color="auto"/>
                                    <w:bottom w:val="none" w:sz="0" w:space="0" w:color="auto"/>
                                    <w:right w:val="none" w:sz="0" w:space="0" w:color="auto"/>
                                  </w:divBdr>
                                  <w:divsChild>
                                    <w:div w:id="1266380306">
                                      <w:marLeft w:val="0"/>
                                      <w:marRight w:val="0"/>
                                      <w:marTop w:val="0"/>
                                      <w:marBottom w:val="0"/>
                                      <w:divBdr>
                                        <w:top w:val="none" w:sz="0" w:space="0" w:color="auto"/>
                                        <w:left w:val="none" w:sz="0" w:space="0" w:color="auto"/>
                                        <w:bottom w:val="none" w:sz="0" w:space="0" w:color="auto"/>
                                        <w:right w:val="none" w:sz="0" w:space="0" w:color="auto"/>
                                      </w:divBdr>
                                      <w:divsChild>
                                        <w:div w:id="1170833092">
                                          <w:marLeft w:val="0"/>
                                          <w:marRight w:val="0"/>
                                          <w:marTop w:val="0"/>
                                          <w:marBottom w:val="0"/>
                                          <w:divBdr>
                                            <w:top w:val="none" w:sz="0" w:space="0" w:color="auto"/>
                                            <w:left w:val="none" w:sz="0" w:space="0" w:color="auto"/>
                                            <w:bottom w:val="none" w:sz="0" w:space="0" w:color="auto"/>
                                            <w:right w:val="none" w:sz="0" w:space="0" w:color="auto"/>
                                          </w:divBdr>
                                          <w:divsChild>
                                            <w:div w:id="24327600">
                                              <w:marLeft w:val="0"/>
                                              <w:marRight w:val="0"/>
                                              <w:marTop w:val="0"/>
                                              <w:marBottom w:val="0"/>
                                              <w:divBdr>
                                                <w:top w:val="none" w:sz="0" w:space="0" w:color="auto"/>
                                                <w:left w:val="none" w:sz="0" w:space="0" w:color="auto"/>
                                                <w:bottom w:val="none" w:sz="0" w:space="0" w:color="auto"/>
                                                <w:right w:val="none" w:sz="0" w:space="0" w:color="auto"/>
                                              </w:divBdr>
                                              <w:divsChild>
                                                <w:div w:id="93482308">
                                                  <w:marLeft w:val="0"/>
                                                  <w:marRight w:val="0"/>
                                                  <w:marTop w:val="0"/>
                                                  <w:marBottom w:val="0"/>
                                                  <w:divBdr>
                                                    <w:top w:val="none" w:sz="0" w:space="0" w:color="auto"/>
                                                    <w:left w:val="none" w:sz="0" w:space="0" w:color="auto"/>
                                                    <w:bottom w:val="none" w:sz="0" w:space="0" w:color="auto"/>
                                                    <w:right w:val="none" w:sz="0" w:space="0" w:color="auto"/>
                                                  </w:divBdr>
                                                  <w:divsChild>
                                                    <w:div w:id="1758090745">
                                                      <w:marLeft w:val="0"/>
                                                      <w:marRight w:val="0"/>
                                                      <w:marTop w:val="0"/>
                                                      <w:marBottom w:val="0"/>
                                                      <w:divBdr>
                                                        <w:top w:val="none" w:sz="0" w:space="0" w:color="auto"/>
                                                        <w:left w:val="none" w:sz="0" w:space="0" w:color="auto"/>
                                                        <w:bottom w:val="none" w:sz="0" w:space="0" w:color="auto"/>
                                                        <w:right w:val="none" w:sz="0" w:space="0" w:color="auto"/>
                                                      </w:divBdr>
                                                    </w:div>
                                                    <w:div w:id="15692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740">
                                              <w:marLeft w:val="0"/>
                                              <w:marRight w:val="0"/>
                                              <w:marTop w:val="0"/>
                                              <w:marBottom w:val="0"/>
                                              <w:divBdr>
                                                <w:top w:val="none" w:sz="0" w:space="0" w:color="auto"/>
                                                <w:left w:val="none" w:sz="0" w:space="0" w:color="auto"/>
                                                <w:bottom w:val="none" w:sz="0" w:space="0" w:color="auto"/>
                                                <w:right w:val="none" w:sz="0" w:space="0" w:color="auto"/>
                                              </w:divBdr>
                                              <w:divsChild>
                                                <w:div w:id="835459621">
                                                  <w:marLeft w:val="0"/>
                                                  <w:marRight w:val="0"/>
                                                  <w:marTop w:val="0"/>
                                                  <w:marBottom w:val="0"/>
                                                  <w:divBdr>
                                                    <w:top w:val="none" w:sz="0" w:space="0" w:color="auto"/>
                                                    <w:left w:val="none" w:sz="0" w:space="0" w:color="auto"/>
                                                    <w:bottom w:val="none" w:sz="0" w:space="0" w:color="auto"/>
                                                    <w:right w:val="none" w:sz="0" w:space="0" w:color="auto"/>
                                                  </w:divBdr>
                                                  <w:divsChild>
                                                    <w:div w:id="8407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143551">
          <w:marLeft w:val="0"/>
          <w:marRight w:val="0"/>
          <w:marTop w:val="0"/>
          <w:marBottom w:val="0"/>
          <w:divBdr>
            <w:top w:val="none" w:sz="0" w:space="0" w:color="auto"/>
            <w:left w:val="none" w:sz="0" w:space="0" w:color="auto"/>
            <w:bottom w:val="none" w:sz="0" w:space="0" w:color="auto"/>
            <w:right w:val="none" w:sz="0" w:space="0" w:color="auto"/>
          </w:divBdr>
          <w:divsChild>
            <w:div w:id="8539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3058</Words>
  <Characters>17436</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Jaime</dc:creator>
  <cp:lastModifiedBy>Jaime Donoso</cp:lastModifiedBy>
  <cp:revision>2</cp:revision>
  <cp:lastPrinted>2018-11-05T14:23:00Z</cp:lastPrinted>
  <dcterms:created xsi:type="dcterms:W3CDTF">2021-05-03T18:01:00Z</dcterms:created>
  <dcterms:modified xsi:type="dcterms:W3CDTF">2021-05-03T18:01:00Z</dcterms:modified>
</cp:coreProperties>
</file>