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f4761"/>
        </w:rPr>
      </w:pPr>
      <w:bookmarkStart w:colFirst="0" w:colLast="0" w:name="_jh8irlf7e3hm" w:id="0"/>
      <w:bookmarkEnd w:id="0"/>
      <w:r w:rsidDel="00000000" w:rsidR="00000000" w:rsidRPr="00000000">
        <w:rPr>
          <w:color w:val="0f476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“¿Dónde está la Mano?”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nace con el objetivo principal de ofrecer a las personas una herramienta simple y confiable para comparar precios de productos de la canasta básica, apoyando así a estudiantes, adultos mayores y familias en la optimización de su presupuesto. Para lograr esto, se ha diseñado e implementado una solución basada íntegramente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Microsoft 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apoyada por un modelo de datos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Cosmos 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un pipeline de integración continua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que asegura un despliegue ordenado entre los ambientes de QA y Producción 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embargo, para garantizar una experiencia de usuario adecuada, no basta con una arquitectura funcional; es necesario validar la capacidad del sistema. Por ello, el presente documento también integra los resultados de las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pruebas no funcionales de rendimiento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(carga, estrés y baseline) realizadas sobre el ambiente productivo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Apache JMeter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 esta forma, se aborda tanto el diseño técnico y lógico de la solución —desde el frontend en React hasta la orquestación de APIs externas— como la validación empírica de su estabilidad, tiempos de respuesta y capacidad de atención de solicitudes bajo distintos niveles de demanda.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360" w:line="278.00000000000006" w:lineRule="auto"/>
        <w:rPr>
          <w:rFonts w:ascii="Calibri" w:cs="Calibri" w:eastAsia="Calibri" w:hAnsi="Calibri"/>
          <w:color w:val="0f4761"/>
        </w:rPr>
      </w:pPr>
      <w:bookmarkStart w:colFirst="0" w:colLast="0" w:name="_h2ksswrhy4w7" w:id="1"/>
      <w:bookmarkEnd w:id="1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Prueba de CARGA (Load test)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Simular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escenario de uso alto pero esperado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portal en productivo, sin llevarlo al límite ni arriesgar indisponibilidad.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Configuración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Number of Threads (users):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30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period (seconds):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60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Count: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 usuarios concurrentes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representa un escenario de pico razonable para un portal como el tuyo, donde varias personas navegan/buscan al mismo tiempo.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de 60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nuevos usuarios se agregan de forma gradual (0,5 usuarios/seg aprox.), parecido a cómo crece la carga en la vida real; evita un “golpe” instantáneo en producción.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cada usuario repite el flujo varias veces, generando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carga sostenida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durante algunos minutos para observar: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estabilidad de tiempos de respuesta,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aparición de errores HTTP,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recursos en el servidor.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1804670"/>
            <wp:effectExtent b="0" l="0" r="0" t="0"/>
            <wp:docPr descr="Interfaz de usuario gráfica, Aplicación&#10;&#10;El contenido generado por IA puede ser incorrecto." id="3" name="image3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una prueba de carga equivalente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 usuarios concurrentes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(300 solicitudes en total).</w:t>
        <w:br w:type="textWrapping"/>
        <w:t xml:space="preserve">El sistema respondió con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tiempo promedio de 222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mínimo de 127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máximo de 782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todos por debajo de 1 segundo. La desviación estándar (121 ms) muestra cierta variabilidad, pero siempre dentro de rangos aceptables para la experiencia de usuario.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throughput promedio fue de 5 solicitudes por segundo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 registrar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errores (0,00%)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con un volumen de datos bajo por respuesta (~1,4 KB).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bajo el escenario de carga definido, el portal en ambiente productivo se comporta de forma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estable y con tiempos de respuesta rápidos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 fallas; no se observan señales de degradación bajo esta carga. El siguiente paso es complementar con pruebas de estrés para identificar el punto de saturación de la plataforma.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80" w:before="360" w:line="278.00000000000006" w:lineRule="auto"/>
        <w:rPr>
          <w:rFonts w:ascii="Calibri" w:cs="Calibri" w:eastAsia="Calibri" w:hAnsi="Calibri"/>
          <w:color w:val="0f4761"/>
        </w:rPr>
      </w:pPr>
      <w:bookmarkStart w:colFirst="0" w:colLast="0" w:name="_wi7zecpper2r" w:id="2"/>
      <w:bookmarkEnd w:id="2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Prueba de ESTRÉS (Stress test)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Ojo: en productivo esto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debería hacerse en una ventana controlada, avisada y, si se puede, mejor en pre-producción. Te doy la config y tú decides si la corres ahí o en un ambiente menos crítico.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Llevar 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más allá de la carga esperada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observar punto de degradación: aumento fuerte de tiempos de respuesta, aparición de errores, limitaciones de la infraestructura, etc.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Configuración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Number of Threads (users):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80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period (seconds):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30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Count: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 usuarios concurrentes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muy por encima del escenario de carga (30). Aquí ya hablamos de un volumen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es realista como operación normal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precisamente para forzar al sistema.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de 30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tráfico sube rápido (≈ 2,6 usuarios/seg), lo que genera picos de uso de CPU, conexiones, memoria, funciones serverless, etc.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mantiene la presión el tiempo suficiente para: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 hasta dónde aguanta,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detectar si empiezan a aparecer errores (timeouts, 5xx, etc.),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analizar si se recupera una vez bajada la carga.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prueba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es lo mismo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la de carga: la diferencia es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intensidad y el objetivo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Carga busca validar comportamiento en uso normal alto; estrés busca encontrar el límite.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1829435"/>
            <wp:effectExtent b="0" l="0" r="0" t="0"/>
            <wp:docPr descr="Interfaz de usuario gráfica, Aplicación&#10;&#10;El contenido generado por IA puede ser incorrecto." id="10" name="image1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2736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Conclusión (Stress Test – ambiente productivo)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prueba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 una concurrencia significativamente mayor que en la prueba de carga, se ejecutaron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800 solicitudes HTTP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alcanzando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throughput promedio de 25,4 solicitudes por segundo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El sistema mantuvo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0,00% de errores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tiempo de respuesta promedio de 167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mínimo de 126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máximo de 738 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todos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 debajo de 1 segundo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desviación estándar (≈91 ms) muestra cierta variación normal en los tiempos, pero sin evidencias de degradación fuerte ni inestabilidad. En resumen, bajo este escenario de estrés el portal en productivo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siguió respondiendo rápido y sin fallas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por lo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se alcanzó aún un punto claro de saturación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la plataforma.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80" w:before="360" w:line="278.00000000000006" w:lineRule="auto"/>
        <w:rPr>
          <w:rFonts w:ascii="Calibri" w:cs="Calibri" w:eastAsia="Calibri" w:hAnsi="Calibri"/>
          <w:color w:val="0f4761"/>
        </w:rPr>
      </w:pPr>
      <w:bookmarkStart w:colFirst="0" w:colLast="0" w:name="_q26jz7xyvc0n" w:id="3"/>
      <w:bookmarkEnd w:id="3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Prueba de RENDIMIENTO / BASELINE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Obtener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línea base de rendimiento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producción: tiempos de respuesta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poca concurrencia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para comparar después contra la prueba de carga y de estrés.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Configuración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Number of Threads (users):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period (seconds):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Count: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20</w:t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 usuarios concurrentes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simula un tráfico suave, prácticamente sin competencia fuerte por recursos.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Ramp-up de 5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un usuario por segundo; impacto muy controlado en producción.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obtienes muchas muestras (5 × 20 = 100 ejecuciones del flujo) para: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medir tiempo promedio y percentiles (p90, p95),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identificar variabilidad normal,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usar estos números como referencia cuando analices resultados de la prueba de carga y de estrés.</w:t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prueba se diferencia claramente de la de carga y estrés: aquí el foco no es “cuántos usuarios aguanta”, sino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qué tan rápido responde el sistema con poca carga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1717040"/>
            <wp:effectExtent b="0" l="0" r="0" t="0"/>
            <wp:docPr descr="Interfaz de usuario gráfica, Aplicación&#10;&#10;El contenido generado por IA puede ser incorrecto." id="6" name="image8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40195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Conclusión (Baseline / Prueba de rendimiento – ambiente productivo)</w:t>
      </w:r>
    </w:p>
    <w:p w:rsidR="00000000" w:rsidDel="00000000" w:rsidP="00000000" w:rsidRDefault="00000000" w:rsidRPr="00000000" w14:paraId="0000006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prueba de rendimiento o baseline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 una carga controlada y relativamente baja, se ejecutaron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200 solicitudes HTTP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 portal en productivo.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Tiempo promedio: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165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Mínimo: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127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Máximo: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622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Desviación estándar: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~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79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0,00%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Throughput: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4,2 solicitudes por 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tiempos de respuesta se mantuvieron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 debajo de 1 segundo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 errores y con una variabilidad moderada, lo que ofrece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línea base sólida de rendimiento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sitio en condiciones normales de uso.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Comparado con los resultados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carga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estrés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los tiempos siguen estando en rangos muy similares, lo que indica que, para el tipo de operaciones medidas, el portal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muestra degradación significativa al aumentar la concurrencia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dentro de los niveles probados.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80" w:before="360" w:line="278.00000000000006" w:lineRule="auto"/>
        <w:jc w:val="both"/>
        <w:rPr>
          <w:rFonts w:ascii="Calibri" w:cs="Calibri" w:eastAsia="Calibri" w:hAnsi="Calibri"/>
          <w:color w:val="0f4761"/>
        </w:rPr>
      </w:pPr>
      <w:bookmarkStart w:colFirst="0" w:colLast="0" w:name="_recrlhu3ayke" w:id="4"/>
      <w:bookmarkEnd w:id="4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Diagrama de despliegue</w:t>
      </w:r>
    </w:p>
    <w:p w:rsidR="00000000" w:rsidDel="00000000" w:rsidP="00000000" w:rsidRDefault="00000000" w:rsidRPr="00000000" w14:paraId="0000007F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siguiente arquitectura de despliegue del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“¿Dónde está la Mano?”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muestra cómo la aplicación se implementa sobre un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Resource 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Microsoft Azure, separando claramente el entorno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entorno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El código alojado en GitHub se publica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 Actions (CI/CD)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hacia dos instancias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Static Web Apps (SWA QA y SWA PROD)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las que se conectan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la capa de API y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el almacenamiento de datos. La seguridad de secretos y cadenas de conexión se gestiona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entorno, mientras que las funciones consumen datos de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WEB/API externas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supermercados (Acuenta, Central Mayorista, Líder) para alimentar el comparador de precios que finalmente consumen los usuarios desde su navegador.</w:t>
      </w:r>
    </w:p>
    <w:p w:rsidR="00000000" w:rsidDel="00000000" w:rsidP="00000000" w:rsidRDefault="00000000" w:rsidRPr="00000000" w14:paraId="00000080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400040" cy="3181985"/>
            <wp:effectExtent b="0" l="0" r="0" t="0"/>
            <wp:docPr descr="Diagrama&#10;&#10;El contenido generado por IA puede ser incorrecto." id="7" name="image7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conclusión, este diseño de despliegue asegura una plataforma web moderna, escalable y mantenible, donde QA y Producción están aislados, pero comparten el mismo modelo de servicios en la nube. El uso de CI/CD automatiza la entrega de cambios desde el entorno de desarrollo, reduciendo errores humanos y tiempos de liberación, mientras que la combinación de Azure Functions, Cosmos DB y Key Vault proporciona una base sólida para procesar búsquedas, resguardar datos y proteger credenciales. Gracias a esta arquitectura, “¿Dónde está la Mano?” puede evolucionar de forma segura, manteniendo la continuidad operativa y ofreciendo a los usuarios finales una experiencia confiable para comparar precios en tiempo real.</w:t>
      </w:r>
    </w:p>
    <w:p w:rsidR="00000000" w:rsidDel="00000000" w:rsidP="00000000" w:rsidRDefault="00000000" w:rsidRPr="00000000" w14:paraId="00000083">
      <w:pPr>
        <w:pStyle w:val="Heading1"/>
        <w:spacing w:after="80" w:before="360" w:line="278.00000000000006" w:lineRule="auto"/>
        <w:jc w:val="both"/>
        <w:rPr>
          <w:rFonts w:ascii="Calibri" w:cs="Calibri" w:eastAsia="Calibri" w:hAnsi="Calibri"/>
          <w:color w:val="0f4761"/>
        </w:rPr>
      </w:pPr>
      <w:bookmarkStart w:colFirst="0" w:colLast="0" w:name="_xw6oh3xe6kih" w:id="5"/>
      <w:bookmarkEnd w:id="5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Modelo de datos</w:t>
      </w:r>
    </w:p>
    <w:p w:rsidR="00000000" w:rsidDel="00000000" w:rsidP="00000000" w:rsidRDefault="00000000" w:rsidRPr="00000000" w14:paraId="00000084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modelo de datos del MVP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“¿Dónde está la Mano?”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Cosmos 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organiza en dos colecciones principales: users y user_products. La colección users almacena la información básica y de autenticación de cada usuario (id, nombre, email, hash de contraseña, roles, estado y fechas de creación/actualización), utilizando el campo /id como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Partition 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el /email como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Unique 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evitar cuentas duplicadas. La colección user_products registra los productos que cada usuario decide seguir, particionando por /userId y asegurando unicidad por la combinación userId + productUrl. Allí se guarda el detalle del producto (título, imagen, tienda, moneda, precio actual), las fechas de alta y última detección, además de un arreglo priceHistory que mantiene el historial de precios con su timestamp asociado.</w:t>
      </w:r>
    </w:p>
    <w:p w:rsidR="00000000" w:rsidDel="00000000" w:rsidP="00000000" w:rsidRDefault="00000000" w:rsidRPr="00000000" w14:paraId="00000085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391150" cy="44100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78.00000000000006" w:lineRule="auto"/>
        <w:jc w:val="both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conclusión, este modelo de datos simple pero estructurado permite vincular claramente a cada usuario con los productos que sigue y su evolución de precios, garantizando integridad mediante claves únicas y particiones alineadas a los patrones de consulta más frecuentes. Gracias a esta definición en Cosmos DB, el MVP queda preparado para escalar el seguimiento personalizado, habilitar funcionalidades futuras como alertas de cambios de precio o reportes históricos y, al mismo tiempo, mantener una base de datos eficiente y fácil de mantener en el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80" w:before="3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d5kidkx2oj7i" w:id="6"/>
      <w:bookmarkEnd w:id="6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Integración Continua -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flujo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proyecto “¿Dónde está la Mano?” define cómo el código viaja desde el entorno local del desarrollador hasta la publicación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Static Web Apps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El trabajo comienza en la rama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donde se realizan cambios y se ejecutan los comandos git add, git commit y git push dev hacia el repositorio en GitHub, que mantiene ramas separadas 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A partir de ahí, se generan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pull 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merge 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mover los cambios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 → qa → master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los cuales son revisados y aprobados por el equipo antes de que un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active los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encargados de compilar y desplegar automáticamente la última versión de frontend y backend.</w:t>
      </w:r>
    </w:p>
    <w:p w:rsidR="00000000" w:rsidDel="00000000" w:rsidP="00000000" w:rsidRDefault="00000000" w:rsidRPr="00000000" w14:paraId="0000008A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400040" cy="1352550"/>
            <wp:effectExtent b="0" l="0" r="0" t="0"/>
            <wp:docPr descr="Diagrama&#10;&#10;El contenido generado por IA puede ser incorrecto." id="5" name="image9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2251727" cy="3131410"/>
            <wp:effectExtent b="0" l="0" r="0" t="0"/>
            <wp:docPr descr="Texto&#10;&#10;El contenido generado por IA puede ser incorrecto." id="2" name="image2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727" cy="313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conclusión, este pipeline de CI/CD formaliza un proceso ordenado y trazable para la integración y entrega continua del proyecto, asegurando que cada cambio pase por revisión y validación antes de llegar a producción. La combinación de ramas por ambiente, revisiones de equipo y despliegues automatizados reduce riesgos, mejora la calidad del software y permite entregar nuevas funcionalidades de “¿Dónde está la Mano?” de forma más rápida, segura y predecible a los usuarios finales.</w:t>
      </w:r>
    </w:p>
    <w:p w:rsidR="00000000" w:rsidDel="00000000" w:rsidP="00000000" w:rsidRDefault="00000000" w:rsidRPr="00000000" w14:paraId="0000008E">
      <w:pPr>
        <w:pStyle w:val="Heading1"/>
        <w:spacing w:after="80" w:before="360" w:line="278.00000000000006" w:lineRule="auto"/>
        <w:jc w:val="both"/>
        <w:rPr>
          <w:rFonts w:ascii="Calibri" w:cs="Calibri" w:eastAsia="Calibri" w:hAnsi="Calibri"/>
          <w:color w:val="0f4761"/>
        </w:rPr>
      </w:pPr>
      <w:bookmarkStart w:colFirst="0" w:colLast="0" w:name="_usyz924j036k" w:id="7"/>
      <w:bookmarkEnd w:id="7"/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Diagrama de flujo</w:t>
      </w:r>
    </w:p>
    <w:p w:rsidR="00000000" w:rsidDel="00000000" w:rsidP="00000000" w:rsidRDefault="00000000" w:rsidRPr="00000000" w14:paraId="0000008F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diagrama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Runtime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describe cómo se ejecuta “¿Dónde está la Mano?” cuando un usuario utiliza la plataforma. Desde el navegador, el usuario accede al sitio y el frontend construido en React es servido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Static Web Apps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que además gestiona las rutas y actúa como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hacia la API. Las peticiones del usuario (por ejemplo, búsquedas de productos o carga de resultados aleatorios) se redirigen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Node.js, donde se encuentran los endpoints /api/search, /api/random y el flujo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Login/Register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Estas funciones orquestan los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adapters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consumen las APIs externas de supermercados para obtener precios y productos, y en paralelo se comunican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Cosmos 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registrar usuarios y su información asociada.</w:t>
      </w:r>
    </w:p>
    <w:p w:rsidR="00000000" w:rsidDel="00000000" w:rsidP="00000000" w:rsidRDefault="00000000" w:rsidRPr="00000000" w14:paraId="00000090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400040" cy="1365885"/>
            <wp:effectExtent b="0" l="0" r="0" t="0"/>
            <wp:docPr descr="Diagrama&#10;&#10;El contenido generado por IA puede ser incorrecto." id="4" name="image10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conclusión, este flujo de ejecución separa claramente la responsabilidad entre presentación y lógica de negocio, aprovechando las capacidades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Static Web Apps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escalar en función de la demanda y mantener tiempos de respuesta eficientes. Al centralizar el consumo de servicios externos en adapters reutilizables y delegar la persistencia a Cosmos DB, el runtime queda preparado para incorporar nuevas tiendas, funcionalidades de historial o alertas de precios sin afectar la experiencia del usuario, manteniendo un backend ligero, desacoplado y fácil de evolucionar.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color w:val="0f4761"/>
        </w:rPr>
      </w:pPr>
      <w:bookmarkStart w:colFirst="0" w:colLast="0" w:name="_qwnyv8xqxur" w:id="8"/>
      <w:bookmarkEnd w:id="8"/>
      <w:r w:rsidDel="00000000" w:rsidR="00000000" w:rsidRPr="00000000">
        <w:rPr>
          <w:color w:val="0f4761"/>
          <w:rtl w:val="0"/>
        </w:rPr>
        <w:t xml:space="preserve">Conclusión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conclusión, la arquitectura de despliegue, el modelo de datos y el flujo de CI/CD conforman una solución técnica coherente y moderna para el MVP de “¿Dónde está la Mano?”. El uso de servicios administrados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Azure Static Web Apps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Cosmos 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 permitido minimizar la complejidad operativa y facilitar la escalabilidad, mientras que la separación de ambientes y la automatización de despliegues garantizan la trazabilidad y seguridad del ciclo de vida del software 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robustez arquitectónica ha sido validada empíricamente mediante las pruebas de rendimiento. Los resultados demuestran que la plataforma mantiene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comportamiento estable y consistente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frente a escenarios de baseline, carga y estrés, logrando tiempos de respuesta promedio por debajo de 1 segundo y una tasa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0% de errores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incluso bajo alta concurrencia . En síntesis, la plataforma no solo cuenta con una base sólida y extensible para futuras funcionalidades, sino que se encuentra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técnicamente preparada para soportar la carga operativa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alineándose con las buenas prácticas de desarrollo en la nube y asegurando una experiencia confiable para los usuarios finales.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