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F49FC" w14:textId="77777777" w:rsidR="000E59D9" w:rsidRPr="00B71CE9" w:rsidRDefault="00224883" w:rsidP="00E52325">
      <w:pPr>
        <w:pStyle w:val="BSVACoverTitle"/>
        <w:spacing w:before="11000"/>
      </w:pPr>
      <w:r>
        <w:t>Trustless Bonding-Curve Covenant</w:t>
      </w:r>
    </w:p>
    <w:p w14:paraId="3A660CA8" w14:textId="77777777" w:rsidR="00C01C44" w:rsidRPr="00B71CE9" w:rsidRDefault="00C01C44" w:rsidP="00CF51C9">
      <w:pPr>
        <w:pStyle w:val="BSVACoverSubtitle"/>
      </w:pPr>
      <w:r>
        <w:t>Technical review brief</w:t>
      </w:r>
    </w:p>
    <w:p w14:paraId="78006723" w14:textId="77777777" w:rsidR="00CF51C9" w:rsidRPr="00B71CE9" w:rsidRDefault="009D7F24" w:rsidP="00BD2823">
      <w:pPr>
        <w:pStyle w:val="BSVACoverVersionDescription"/>
      </w:pPr>
      <w:r>
        <w:t>Version 1.0  ·  August 2026  ·  Internal</w:t>
      </w:r>
    </w:p>
    <w:p w14:paraId="4281AF50" w14:textId="77777777" w:rsidR="00E40560" w:rsidRPr="00B71CE9" w:rsidRDefault="009D7F24" w:rsidP="00BD2823">
      <w:pPr>
        <w:pStyle w:val="BSVACoverDate"/>
      </w:pPr>
      <w:r>
        <w:t/>
      </w:r>
    </w:p>
    <w:p>
      <w:pPr>
        <w:pStyle w:val="Heading1"/>
      </w:pPr>
      <w:r>
        <w:t>What we are asking you to do</w:t>
      </w:r>
    </w:p>
    <w:p>
      <w:pPr>
        <w:pStyle w:val="BSVAIntroduction"/>
      </w:pPr>
      <w:r>
        <w:t>Review one Bitcoin Script covenant that custodies user money, and tell us whether anyone can take satoshis they are not owed, or lock satoshis so that nobody can ever retrieve them.</w:t>
      </w:r>
    </w:p>
    <w:p>
      <w:pPr>
        <w:pStyle w:val="Normal"/>
      </w:pPr>
      <w:r>
        <w:t>That is the whole question. Everything else in this document exists to get you to it faster.</w:t>
      </w:r>
    </w:p>
    <w:p>
      <w:pPr>
        <w:pStyle w:val="Normal"/>
      </w:pPr>
    </w:p>
    <w:p>
      <w:pPr>
        <w:pStyle w:val="Normal"/>
      </w:pPr>
      <w:r>
        <w:t>In scope — the covenant and the code that constructs its spends:</w:t>
      </w:r>
    </w:p>
    <w:p>
      <w:pPr>
        <w:pStyle w:val="ListBullet"/>
      </w:pPr>
      <w:r>
        <w:t>packages/curve/src/contracts/merkleLedgerPool.ts — the deployed covenant (sCrypt source)</w:t>
      </w:r>
    </w:p>
    <w:p>
      <w:pPr>
        <w:pStyle w:val="ListBullet"/>
      </w:pPr>
      <w:r>
        <w:t>packages/curve/src/merkleLedger.ts — the off-chain tree that must agree with the in-script fold</w:t>
      </w:r>
    </w:p>
    <w:p>
      <w:pPr>
        <w:pStyle w:val="ListBullet"/>
      </w:pPr>
      <w:r>
        <w:t>packages/curve/service/merkleLedgerState.ts — successor-script and unlock construction</w:t>
      </w:r>
    </w:p>
    <w:p>
      <w:pPr>
        <w:pStyle w:val="ListBullet"/>
      </w:pPr>
      <w:r>
        <w:t>packages/curve/src/covenant.ts — the pre-broadcast interpreter guard</w:t>
      </w:r>
    </w:p>
    <w:p>
      <w:pPr>
        <w:pStyle w:val="Normal"/>
      </w:pPr>
    </w:p>
    <w:p>
      <w:pPr>
        <w:pStyle w:val="Normal"/>
      </w:pPr>
      <w:r>
        <w:t>Out of scope, and we would rather you did not spend time on them: the web application, code style, architecture preferences, and the database layer. None of them can move funds — the covenant is the sole authority, and a bug in the app produces a rejected transaction, not a loss.</w:t>
      </w:r>
    </w:p>
    <w:p>
      <w:pPr>
        <w:pStyle w:val="Heading1"/>
      </w:pPr>
      <w:r>
        <w:t>What holds the money</w:t>
      </w:r>
    </w:p>
    <w:p>
      <w:pPr>
        <w:pStyle w:val="Normal"/>
      </w:pPr>
      <w:r>
        <w:t>A single covenant output holds the entire reserve of a sale. Buyers pay into it; sellers are refunded out of it; at the end its whole balance is released to one address that was fixed when the pool was deployed.</w:t>
      </w:r>
    </w:p>
    <w:p>
      <w:pPr>
        <w:pStyle w:val="Normal"/>
      </w:pPr>
    </w:p>
    <w:p>
      <w:pPr>
        <w:pStyle w:val="BSVAQuote"/>
      </w:pPr>
      <w:r>
        <w:t>There is no operator key anywhere on this path. We cannot stop, redirect, reprice or seize a trade, and neither can the project. If a satoshi can be stolen, it is because the script permits it.</w:t>
      </w:r>
    </w:p>
    <w:p>
      <w:pPr>
        <w:pStyle w:val="Normal"/>
      </w:pPr>
    </w:p>
    <w:p>
      <w:pPr>
        <w:pStyle w:val="Normal"/>
        <w:jc w:val="center"/>
      </w:pPr>
      <w:r>
        <w:drawing>
          <wp:inline xmlns:a="http://schemas.openxmlformats.org/drawingml/2006/main" xmlns:pic="http://schemas.openxmlformats.org/drawingml/2006/picture">
            <wp:extent cx="4572000" cy="5238272"/>
            <wp:docPr id="1" name="Picture 1"/>
            <wp:cNvGraphicFramePr>
              <a:graphicFrameLocks noChangeAspect="1"/>
            </wp:cNvGraphicFramePr>
            <a:graphic>
              <a:graphicData uri="http://schemas.openxmlformats.org/drawingml/2006/picture">
                <pic:pic>
                  <pic:nvPicPr>
                    <pic:cNvPr id="0" name="fig1.png"/>
                    <pic:cNvPicPr/>
                  </pic:nvPicPr>
                  <pic:blipFill>
                    <a:blip r:embed="rId26"/>
                    <a:stretch>
                      <a:fillRect/>
                    </a:stretch>
                  </pic:blipFill>
                  <pic:spPr>
                    <a:xfrm>
                      <a:off x="0" y="0"/>
                      <a:ext cx="4572000" cy="5238272"/>
                    </a:xfrm>
                    <a:prstGeom prst="rect"/>
                  </pic:spPr>
                </pic:pic>
              </a:graphicData>
            </a:graphic>
          </wp:inline>
        </w:drawing>
      </w:r>
    </w:p>
    <w:p>
      <w:pPr>
        <w:pStyle w:val="Normal"/>
      </w:pPr>
      <w:r>
        <w:t>Figure 1 — Every satoshi sits in the covenant. The three arrows out are the only ways it can leave.</w:t>
      </w:r>
    </w:p>
    <w:p>
      <w:pPr>
        <w:pStyle w:val="Heading1"/>
      </w:pPr>
      <w:r>
        <w:t>How it can be spent</w:t>
      </w:r>
    </w:p>
    <w:p>
      <w:pPr>
        <w:pStyle w:val="Normal"/>
      </w:pPr>
      <w:r>
        <w:t>Three public methods, each with a different sighash discipline. The flags matter as much as the logic: they decide which outputs the covenant commits to, and therefore what an attacker is free to change.</w:t>
      </w:r>
    </w:p>
    <w:p>
      <w:pPr>
        <w:pStyle w:val="Normal"/>
        <w:jc w:val="center"/>
      </w:pPr>
      <w:r>
        <w:drawing>
          <wp:inline xmlns:a="http://schemas.openxmlformats.org/drawingml/2006/main" xmlns:pic="http://schemas.openxmlformats.org/drawingml/2006/picture">
            <wp:extent cx="5760720" cy="2641859"/>
            <wp:docPr id="2" name="Picture 2"/>
            <wp:cNvGraphicFramePr>
              <a:graphicFrameLocks noChangeAspect="1"/>
            </wp:cNvGraphicFramePr>
            <a:graphic>
              <a:graphicData uri="http://schemas.openxmlformats.org/drawingml/2006/picture">
                <pic:pic>
                  <pic:nvPicPr>
                    <pic:cNvPr id="0" name="fig2.png"/>
                    <pic:cNvPicPr/>
                  </pic:nvPicPr>
                  <pic:blipFill>
                    <a:blip r:embed="rId27"/>
                    <a:stretch>
                      <a:fillRect/>
                    </a:stretch>
                  </pic:blipFill>
                  <pic:spPr>
                    <a:xfrm>
                      <a:off x="0" y="0"/>
                      <a:ext cx="5760720" cy="2641859"/>
                    </a:xfrm>
                    <a:prstGeom prst="rect"/>
                  </pic:spPr>
                </pic:pic>
              </a:graphicData>
            </a:graphic>
          </wp:inline>
        </w:drawing>
      </w:r>
    </w:p>
    <w:p>
      <w:pPr>
        <w:pStyle w:val="Normal"/>
      </w:pPr>
      <w:r>
        <w:t>Figure 2 — The three spend paths and what each one pins.</w:t>
      </w:r>
    </w:p>
    <w:p>
      <w:pPr>
        <w:pStyle w:val="Normal"/>
      </w:pPr>
    </w:p>
    <w:p>
      <w:pPr>
        <w:pStyle w:val="Normal"/>
      </w:pPr>
      <w:r>
        <w:t>Buy is keyless by design: nobody signs it. The covenant computes the curve price itself and requires the reserve to grow by at least that amount, so there is no authorising key to compromise. Sell is authorised by the holder's own signature over the spend — that signature is their claim to the balance. Graduation carries no signature at all; anyone may trigger it once the curve is fully sold, and the destination was fixed at deploy so a hostile caller cannot steer the money.</w:t>
      </w:r>
    </w:p>
    <w:p>
      <w:pPr>
        <w:pStyle w:val="Heading1"/>
      </w:pPr>
      <w:r>
        <w:t>The mechanism most worth attacking</w:t>
      </w:r>
    </w:p>
    <w:p>
      <w:pPr>
        <w:pStyle w:val="Normal"/>
      </w:pPr>
      <w:r>
        <w:t>Holder balances live inside the covenant as a Merkle root over a fixed-depth array of slots. This is the highest-value target in the system: if a spender can prove a balance they do not hold, they can sell it and drain the reserve.</w:t>
      </w:r>
    </w:p>
    <w:p>
      <w:pPr>
        <w:pStyle w:val="Normal"/>
        <w:jc w:val="center"/>
      </w:pPr>
      <w:r>
        <w:drawing>
          <wp:inline xmlns:a="http://schemas.openxmlformats.org/drawingml/2006/main" xmlns:pic="http://schemas.openxmlformats.org/drawingml/2006/picture">
            <wp:extent cx="4572000" cy="6051395"/>
            <wp:docPr id="3" name="Picture 3"/>
            <wp:cNvGraphicFramePr>
              <a:graphicFrameLocks noChangeAspect="1"/>
            </wp:cNvGraphicFramePr>
            <a:graphic>
              <a:graphicData uri="http://schemas.openxmlformats.org/drawingml/2006/picture">
                <pic:pic>
                  <pic:nvPicPr>
                    <pic:cNvPr id="0" name="fig3.png"/>
                    <pic:cNvPicPr/>
                  </pic:nvPicPr>
                  <pic:blipFill>
                    <a:blip r:embed="rId28"/>
                    <a:stretch>
                      <a:fillRect/>
                    </a:stretch>
                  </pic:blipFill>
                  <pic:spPr>
                    <a:xfrm>
                      <a:off x="0" y="0"/>
                      <a:ext cx="4572000" cy="6051395"/>
                    </a:xfrm>
                    <a:prstGeom prst="rect"/>
                  </pic:spPr>
                </pic:pic>
              </a:graphicData>
            </a:graphic>
          </wp:inline>
        </w:drawing>
      </w:r>
    </w:p>
    <w:p>
      <w:pPr>
        <w:pStyle w:val="Normal"/>
      </w:pPr>
      <w:r>
        <w:t>Figure 3 — Every spend proves the current value of the slot it touches.</w:t>
      </w:r>
    </w:p>
    <w:p>
      <w:pPr>
        <w:pStyle w:val="Normal"/>
      </w:pPr>
    </w:p>
    <w:p>
      <w:pPr>
        <w:pStyle w:val="Normal"/>
      </w:pPr>
      <w:r>
        <w:t>Depth is 16, giving 65,536 slots and a 512-byte inclusion proof that does not grow with the holder count. A leaf is sha256(ownerPkh(20) || balance(8, little-endian)); both fields are fixed-width, so no two distinct pairs can serialise identically. Slots are append-only: a new holder must prove the slot at exactly holderCount is empty, and an existing one must prove the slot's current owner and balance. Nothing can be reset.</w:t>
      </w:r>
    </w:p>
    <w:p>
      <w:pPr>
        <w:pStyle w:val="Heading1"/>
      </w:pPr>
      <w:r>
        <w:t>Invariants to verify</w:t>
      </w:r>
    </w:p>
    <w:tbl>
      <w:tblPr>
        <w:tblStyle w:val="nChain"/>
        <w:tblW w:w="5000" w:type="pct"/>
        <w:tblLook w:val="04A0" w:firstRow="1" w:lastRow="0" w:firstColumn="1" w:lastColumn="0" w:noHBand="0" w:noVBand="1"/>
      </w:tblPr>
      <w:tblGrid>
        <w:gridCol w:w="789"/>
        <w:gridCol w:w="3748"/>
        <w:gridCol w:w="5326"/>
      </w:tblGrid>
      <w:tr>
        <w:trPr>
          <w:cnfStyle w:val="100000000000" w:firstRow="1"/>
          <w:trHeight w:val="432"/>
        </w:trPr>
        <w:tc>
          <w:tcPr>
            <w:cnfStyle w:val="001000000000" w:firstColumn="1"/>
            <w:tcW w:w="400" w:type="pct"/>
            <w:vAlign w:val="center"/>
          </w:tcPr>
          <w:p>
            <w:pPr>
              <w:pStyle w:val="BSVATableHeader"/>
            </w:pPr>
            <w:r>
              <w:t>#</w:t>
            </w:r>
          </w:p>
        </w:tc>
        <w:tc>
          <w:tcPr>
            <w:tcW w:w="1900" w:type="pct"/>
            <w:vAlign w:val="center"/>
          </w:tcPr>
          <w:p>
            <w:pPr>
              <w:pStyle w:val="BSVATableHeader"/>
            </w:pPr>
            <w:r>
              <w:t>Invariant</w:t>
            </w:r>
          </w:p>
        </w:tc>
        <w:tc>
          <w:tcPr>
            <w:tcW w:w="2700" w:type="pct"/>
            <w:vAlign w:val="center"/>
          </w:tcPr>
          <w:p>
            <w:pPr>
              <w:pStyle w:val="BSVATableHeader"/>
            </w:pPr>
            <w:r>
              <w:t>Why it matters</w:t>
            </w:r>
          </w:p>
        </w:tc>
      </w:tr>
      <w:tr>
        <w:trPr>
          <w:cnfStyle w:val="000000100000" w:oddHBand="1"/>
          <w:trHeight w:val="455"/>
        </w:trPr>
        <w:tc>
          <w:tcPr>
            <w:cnfStyle w:val="001000000000" w:firstColumn="1"/>
            <w:tcW w:w="400" w:type="pct"/>
            <w:shd w:val="clear" w:color="auto" w:fill="EFF0F7" w:themeFill="background2"/>
          </w:tcPr>
          <w:p>
            <w:pPr>
              <w:pStyle w:val="BSVATableText"/>
            </w:pPr>
            <w:r>
              <w:t>1</w:t>
            </w:r>
          </w:p>
        </w:tc>
        <w:tc>
          <w:tcPr>
            <w:tcW w:w="1900" w:type="pct"/>
            <w:shd w:val="clear" w:color="auto" w:fill="EFF0F7" w:themeFill="background2"/>
          </w:tcPr>
          <w:p>
            <w:pPr>
              <w:pStyle w:val="BSVATableText"/>
            </w:pPr>
            <w:r>
              <w:t>sold equals the sum of all slot balances, always</w:t>
            </w:r>
          </w:p>
        </w:tc>
        <w:tc>
          <w:tcPr>
            <w:tcW w:w="2700" w:type="pct"/>
            <w:shd w:val="clear" w:color="auto" w:fill="EFF0F7" w:themeFill="background2"/>
          </w:tcPr>
          <w:p>
            <w:pPr>
              <w:pStyle w:val="BSVATableText"/>
            </w:pPr>
            <w:r>
              <w:t>The reserve-safety invariant. Every buy adds to both; every sell subtracts from both.</w:t>
            </w:r>
          </w:p>
        </w:tc>
      </w:tr>
      <w:tr>
        <w:trPr>
          <w:trHeight w:val="455"/>
        </w:trPr>
        <w:tc>
          <w:tcPr>
            <w:cnfStyle w:val="001000000000" w:firstColumn="1"/>
            <w:tcW w:w="400" w:type="pct"/>
          </w:tcPr>
          <w:p>
            <w:pPr>
              <w:pStyle w:val="BSVATableText"/>
            </w:pPr>
            <w:r>
              <w:t>2</w:t>
            </w:r>
          </w:p>
        </w:tc>
        <w:tc>
          <w:tcPr>
            <w:tcW w:w="1900" w:type="pct"/>
          </w:tcPr>
          <w:p>
            <w:pPr>
              <w:pStyle w:val="BSVATableText"/>
            </w:pPr>
            <w:r>
              <w:t>The curve division never truncates</w:t>
            </w:r>
          </w:p>
        </w:tc>
        <w:tc>
          <w:tcPr>
            <w:tcW w:w="2700" w:type="pct"/>
          </w:tcPr>
          <w:p>
            <w:pPr>
              <w:pStyle w:val="BSVATableText"/>
            </w:pPr>
            <w:r>
              <w:t>d(2s+d+1) is always even, so there is no rounding in anyone's favour. Confirm, do not assume.</w:t>
            </w:r>
          </w:p>
        </w:tc>
      </w:tr>
      <w:tr>
        <w:trPr>
          <w:cnfStyle w:val="000000100000" w:oddHBand="1"/>
          <w:trHeight w:val="455"/>
        </w:trPr>
        <w:tc>
          <w:tcPr>
            <w:cnfStyle w:val="001000000000" w:firstColumn="1"/>
            <w:tcW w:w="400" w:type="pct"/>
            <w:shd w:val="clear" w:color="auto" w:fill="EFF0F7" w:themeFill="background2"/>
          </w:tcPr>
          <w:p>
            <w:pPr>
              <w:pStyle w:val="BSVATableText"/>
            </w:pPr>
            <w:r>
              <w:t>3</w:t>
            </w:r>
          </w:p>
        </w:tc>
        <w:tc>
          <w:tcPr>
            <w:tcW w:w="1900" w:type="pct"/>
            <w:shd w:val="clear" w:color="auto" w:fill="EFF0F7" w:themeFill="background2"/>
          </w:tcPr>
          <w:p>
            <w:pPr>
              <w:pStyle w:val="BSVATableText"/>
            </w:pPr>
            <w:r>
              <w:t>The in-script fold equals the off-chain fold</w:t>
            </w:r>
          </w:p>
        </w:tc>
        <w:tc>
          <w:tcPr>
            <w:tcW w:w="2700" w:type="pct"/>
            <w:shd w:val="clear" w:color="auto" w:fill="EFF0F7" w:themeFill="background2"/>
          </w:tcPr>
          <w:p>
            <w:pPr>
              <w:pStyle w:val="BSVATableText"/>
            </w:pPr>
            <w:r>
              <w:t>Same sibling order, depth and hash. A disagreement means forged balances validate. Sharpest edge here.</w:t>
            </w:r>
          </w:p>
        </w:tc>
      </w:tr>
      <w:tr>
        <w:trPr>
          <w:trHeight w:val="455"/>
        </w:trPr>
        <w:tc>
          <w:tcPr>
            <w:cnfStyle w:val="001000000000" w:firstColumn="1"/>
            <w:tcW w:w="400" w:type="pct"/>
          </w:tcPr>
          <w:p>
            <w:pPr>
              <w:pStyle w:val="BSVATableText"/>
            </w:pPr>
            <w:r>
              <w:t>4</w:t>
            </w:r>
          </w:p>
        </w:tc>
        <w:tc>
          <w:tcPr>
            <w:tcW w:w="1900" w:type="pct"/>
          </w:tcPr>
          <w:p>
            <w:pPr>
              <w:pStyle w:val="BSVATableText"/>
            </w:pPr>
            <w:r>
              <w:t>A new holder can only append onto a proven-empty slot</w:t>
            </w:r>
          </w:p>
        </w:tc>
        <w:tc>
          <w:tcPr>
            <w:tcW w:w="2700" w:type="pct"/>
          </w:tcPr>
          <w:p>
            <w:pPr>
              <w:pStyle w:val="BSVATableText"/>
            </w:pPr>
            <w:r>
              <w:t>Otherwise a live balance is overwritten and invariant 1 breaks.</w:t>
            </w:r>
          </w:p>
        </w:tc>
      </w:tr>
      <w:tr>
        <w:trPr>
          <w:cnfStyle w:val="000000100000" w:oddHBand="1"/>
          <w:trHeight w:val="455"/>
        </w:trPr>
        <w:tc>
          <w:tcPr>
            <w:cnfStyle w:val="001000000000" w:firstColumn="1"/>
            <w:tcW w:w="400" w:type="pct"/>
            <w:shd w:val="clear" w:color="auto" w:fill="EFF0F7" w:themeFill="background2"/>
          </w:tcPr>
          <w:p>
            <w:pPr>
              <w:pStyle w:val="BSVATableText"/>
            </w:pPr>
            <w:r>
              <w:t>5</w:t>
            </w:r>
          </w:p>
        </w:tc>
        <w:tc>
          <w:tcPr>
            <w:tcW w:w="1900" w:type="pct"/>
            <w:shd w:val="clear" w:color="auto" w:fill="EFF0F7" w:themeFill="background2"/>
          </w:tcPr>
          <w:p>
            <w:pPr>
              <w:pStyle w:val="BSVATableText"/>
            </w:pPr>
            <w:r>
              <w:t>An update proves the slot's current owner and balance</w:t>
            </w:r>
          </w:p>
        </w:tc>
        <w:tc>
          <w:tcPr>
            <w:tcW w:w="2700" w:type="pct"/>
            <w:shd w:val="clear" w:color="auto" w:fill="EFF0F7" w:themeFill="background2"/>
          </w:tcPr>
          <w:p>
            <w:pPr>
              <w:pStyle w:val="BSVATableText"/>
            </w:pPr>
            <w:r>
              <w:t>The leaf commits to the owner, so a slot cannot be reset or written over by another party.</w:t>
            </w:r>
          </w:p>
        </w:tc>
      </w:tr>
      <w:tr>
        <w:trPr>
          <w:trHeight w:val="455"/>
        </w:trPr>
        <w:tc>
          <w:tcPr>
            <w:cnfStyle w:val="001000000000" w:firstColumn="1"/>
            <w:tcW w:w="400" w:type="pct"/>
          </w:tcPr>
          <w:p>
            <w:pPr>
              <w:pStyle w:val="BSVATableText"/>
            </w:pPr>
            <w:r>
              <w:t>6</w:t>
            </w:r>
          </w:p>
        </w:tc>
        <w:tc>
          <w:tcPr>
            <w:tcW w:w="1900" w:type="pct"/>
          </w:tcPr>
          <w:p>
            <w:pPr>
              <w:pStyle w:val="BSVATableText"/>
            </w:pPr>
            <w:r>
              <w:t>An empty slot and an occupied slot are distinguishable</w:t>
            </w:r>
          </w:p>
        </w:tc>
        <w:tc>
          <w:tcPr>
            <w:tcW w:w="2700" w:type="pct"/>
          </w:tcPr>
          <w:p>
            <w:pPr>
              <w:pStyle w:val="BSVATableText"/>
            </w:pPr>
            <w:r>
              <w:t>Empty is 32 zero bytes; a real leaf is a sha256 image.</w:t>
            </w:r>
          </w:p>
        </w:tc>
      </w:tr>
      <w:tr>
        <w:trPr>
          <w:cnfStyle w:val="000000100000" w:oddHBand="1"/>
          <w:trHeight w:val="455"/>
        </w:trPr>
        <w:tc>
          <w:tcPr>
            <w:cnfStyle w:val="001000000000" w:firstColumn="1"/>
            <w:tcW w:w="400" w:type="pct"/>
            <w:shd w:val="clear" w:color="auto" w:fill="EFF0F7" w:themeFill="background2"/>
          </w:tcPr>
          <w:p>
            <w:pPr>
              <w:pStyle w:val="BSVATableText"/>
            </w:pPr>
            <w:r>
              <w:t>7</w:t>
            </w:r>
          </w:p>
        </w:tc>
        <w:tc>
          <w:tcPr>
            <w:tcW w:w="1900" w:type="pct"/>
            <w:shd w:val="clear" w:color="auto" w:fill="EFF0F7" w:themeFill="background2"/>
          </w:tcPr>
          <w:p>
            <w:pPr>
              <w:pStyle w:val="BSVATableText"/>
            </w:pPr>
            <w:r>
              <w:t>hashOutputs pinning matches the flag on each method</w:t>
            </w:r>
          </w:p>
        </w:tc>
        <w:tc>
          <w:tcPr>
            <w:tcW w:w="2700" w:type="pct"/>
            <w:shd w:val="clear" w:color="auto" w:fill="EFF0F7" w:themeFill="background2"/>
          </w:tcPr>
          <w:p>
            <w:pPr>
              <w:pStyle w:val="BSVATableText"/>
            </w:pPr>
            <w:r>
              <w:t>Buy and graduate pin output 0 only; sell pins exactly two outputs.</w:t>
            </w:r>
          </w:p>
        </w:tc>
      </w:tr>
      <w:tr>
        <w:trPr>
          <w:trHeight w:val="455"/>
        </w:trPr>
        <w:tc>
          <w:tcPr>
            <w:cnfStyle w:val="001000000000" w:firstColumn="1"/>
            <w:tcW w:w="400" w:type="pct"/>
          </w:tcPr>
          <w:p>
            <w:pPr>
              <w:pStyle w:val="BSVATableText"/>
            </w:pPr>
            <w:r>
              <w:t>8</w:t>
            </w:r>
          </w:p>
        </w:tc>
        <w:tc>
          <w:tcPr>
            <w:tcW w:w="1900" w:type="pct"/>
          </w:tcPr>
          <w:p>
            <w:pPr>
              <w:pStyle w:val="BSVATableText"/>
            </w:pPr>
            <w:r>
              <w:t>Successor scripts are byte-exact</w:t>
            </w:r>
          </w:p>
        </w:tc>
        <w:tc>
          <w:tcPr>
            <w:tcW w:w="2700" w:type="pct"/>
          </w:tcPr>
          <w:p>
            <w:pPr>
              <w:pStyle w:val="BSVATableText"/>
            </w:pPr>
            <w:r>
              <w:t>A one-byte drift fails hashOutputs. This trap has been hit twice in this codebase.</w:t>
            </w:r>
          </w:p>
        </w:tc>
      </w:tr>
    </w:tbl>
    <w:p>
      <w:pPr>
        <w:pStyle w:val="Heading1"/>
      </w:pPr>
      <w:r>
        <w:t>Drain vectors, ranked</w:t>
      </w:r>
    </w:p>
    <w:p>
      <w:pPr>
        <w:pStyle w:val="Normal"/>
      </w:pPr>
      <w:r>
        <w:t>Attack these in order. The first is the reason the covenant exists.</w:t>
      </w:r>
    </w:p>
    <w:tbl>
      <w:tblPr>
        <w:tblStyle w:val="nChain"/>
        <w:tblW w:w="5000" w:type="pct"/>
        <w:tblLook w:val="04A0" w:firstRow="1" w:lastRow="0" w:firstColumn="1" w:lastColumn="0" w:noHBand="0" w:noVBand="1"/>
      </w:tblPr>
      <w:tblGrid>
        <w:gridCol w:w="1183"/>
        <w:gridCol w:w="3353"/>
        <w:gridCol w:w="5326"/>
      </w:tblGrid>
      <w:tr>
        <w:trPr>
          <w:cnfStyle w:val="100000000000" w:firstRow="1"/>
          <w:trHeight w:val="432"/>
        </w:trPr>
        <w:tc>
          <w:tcPr>
            <w:cnfStyle w:val="001000000000" w:firstColumn="1"/>
            <w:tcW w:w="600" w:type="pct"/>
            <w:vAlign w:val="center"/>
          </w:tcPr>
          <w:p>
            <w:pPr>
              <w:pStyle w:val="BSVATableHeader"/>
            </w:pPr>
            <w:r>
              <w:t>Rank</w:t>
            </w:r>
          </w:p>
        </w:tc>
        <w:tc>
          <w:tcPr>
            <w:tcW w:w="1700" w:type="pct"/>
            <w:vAlign w:val="center"/>
          </w:tcPr>
          <w:p>
            <w:pPr>
              <w:pStyle w:val="BSVATableHeader"/>
            </w:pPr>
            <w:r>
              <w:t>Vector</w:t>
            </w:r>
          </w:p>
        </w:tc>
        <w:tc>
          <w:tcPr>
            <w:tcW w:w="2700" w:type="pct"/>
            <w:vAlign w:val="center"/>
          </w:tcPr>
          <w:p>
            <w:pPr>
              <w:pStyle w:val="BSVATableHeader"/>
            </w:pPr>
            <w:r>
              <w:t>What to try</w:t>
            </w:r>
          </w:p>
        </w:tc>
      </w:tr>
      <w:tr>
        <w:trPr>
          <w:cnfStyle w:val="000000100000" w:oddHBand="1"/>
          <w:trHeight w:val="455"/>
        </w:trPr>
        <w:tc>
          <w:tcPr>
            <w:cnfStyle w:val="001000000000" w:firstColumn="1"/>
            <w:tcW w:w="600" w:type="pct"/>
            <w:shd w:val="clear" w:color="auto" w:fill="EFF0F7" w:themeFill="background2"/>
          </w:tcPr>
          <w:p>
            <w:pPr>
              <w:pStyle w:val="BSVATableText"/>
            </w:pPr>
            <w:r>
              <w:t>1</w:t>
            </w:r>
          </w:p>
        </w:tc>
        <w:tc>
          <w:tcPr>
            <w:tcW w:w="1700" w:type="pct"/>
            <w:shd w:val="clear" w:color="auto" w:fill="EFF0F7" w:themeFill="background2"/>
          </w:tcPr>
          <w:p>
            <w:pPr>
              <w:pStyle w:val="BSVATableText"/>
            </w:pPr>
            <w:r>
              <w:t>Merkle proof forgery</w:t>
            </w:r>
          </w:p>
        </w:tc>
        <w:tc>
          <w:tcPr>
            <w:tcW w:w="2700" w:type="pct"/>
            <w:shd w:val="clear" w:color="auto" w:fill="EFF0F7" w:themeFill="background2"/>
          </w:tcPr>
          <w:p>
            <w:pPr>
              <w:pStyle w:val="BSVATableText"/>
            </w:pPr>
            <w:r>
              <w:t>Wrong sibling order, an off-by-one in depth, a path-bit mismatch — anything that proves a balance not held.</w:t>
            </w:r>
          </w:p>
        </w:tc>
      </w:tr>
      <w:tr>
        <w:trPr>
          <w:trHeight w:val="455"/>
        </w:trPr>
        <w:tc>
          <w:tcPr>
            <w:cnfStyle w:val="001000000000" w:firstColumn="1"/>
            <w:tcW w:w="600" w:type="pct"/>
          </w:tcPr>
          <w:p>
            <w:pPr>
              <w:pStyle w:val="BSVATableText"/>
            </w:pPr>
            <w:r>
              <w:t>2</w:t>
            </w:r>
          </w:p>
        </w:tc>
        <w:tc>
          <w:tcPr>
            <w:tcW w:w="1700" w:type="pct"/>
          </w:tcPr>
          <w:p>
            <w:pPr>
              <w:pStyle w:val="BSVATableText"/>
            </w:pPr>
            <w:r>
              <w:t>Append onto an occupied slot</w:t>
            </w:r>
          </w:p>
        </w:tc>
        <w:tc>
          <w:tcPr>
            <w:tcW w:w="2700" w:type="pct"/>
          </w:tcPr>
          <w:p>
            <w:pPr>
              <w:pStyle w:val="BSVATableText"/>
            </w:pPr>
            <w:r>
              <w:t>Defeat either half of the guard independently: the index check, or the empty-leaf proof.</w:t>
            </w:r>
          </w:p>
        </w:tc>
      </w:tr>
      <w:tr>
        <w:trPr>
          <w:cnfStyle w:val="000000100000" w:oddHBand="1"/>
          <w:trHeight w:val="455"/>
        </w:trPr>
        <w:tc>
          <w:tcPr>
            <w:cnfStyle w:val="001000000000" w:firstColumn="1"/>
            <w:tcW w:w="600" w:type="pct"/>
            <w:shd w:val="clear" w:color="auto" w:fill="EFF0F7" w:themeFill="background2"/>
          </w:tcPr>
          <w:p>
            <w:pPr>
              <w:pStyle w:val="BSVATableText"/>
            </w:pPr>
            <w:r>
              <w:t>3</w:t>
            </w:r>
          </w:p>
        </w:tc>
        <w:tc>
          <w:tcPr>
            <w:tcW w:w="1700" w:type="pct"/>
            <w:shd w:val="clear" w:color="auto" w:fill="EFF0F7" w:themeFill="background2"/>
          </w:tcPr>
          <w:p>
            <w:pPr>
              <w:pStyle w:val="BSVATableText"/>
            </w:pPr>
            <w:r>
              <w:t>Cross-owner slot write</w:t>
            </w:r>
          </w:p>
        </w:tc>
        <w:tc>
          <w:tcPr>
            <w:tcW w:w="2700" w:type="pct"/>
            <w:shd w:val="clear" w:color="auto" w:fill="EFF0F7" w:themeFill="background2"/>
          </w:tcPr>
          <w:p>
            <w:pPr>
              <w:pStyle w:val="BSVATableText"/>
            </w:pPr>
            <w:r>
              <w:t>Credit or debit a slot whose owner differs from the one supplied.</w:t>
            </w:r>
          </w:p>
        </w:tc>
      </w:tr>
      <w:tr>
        <w:trPr>
          <w:trHeight w:val="455"/>
        </w:trPr>
        <w:tc>
          <w:tcPr>
            <w:cnfStyle w:val="001000000000" w:firstColumn="1"/>
            <w:tcW w:w="600" w:type="pct"/>
          </w:tcPr>
          <w:p>
            <w:pPr>
              <w:pStyle w:val="BSVATableText"/>
            </w:pPr>
            <w:r>
              <w:t>4</w:t>
            </w:r>
          </w:p>
        </w:tc>
        <w:tc>
          <w:tcPr>
            <w:tcW w:w="1700" w:type="pct"/>
          </w:tcPr>
          <w:p>
            <w:pPr>
              <w:pStyle w:val="BSVATableText"/>
            </w:pPr>
            <w:r>
              <w:t>Stale-proof replay</w:t>
            </w:r>
          </w:p>
        </w:tc>
        <w:tc>
          <w:tcPr>
            <w:tcW w:w="2700" w:type="pct"/>
          </w:tcPr>
          <w:p>
            <w:pPr>
              <w:pStyle w:val="BSVATableText"/>
            </w:pPr>
            <w:r>
              <w:t>Reuse a proof from an earlier root.</w:t>
            </w:r>
          </w:p>
        </w:tc>
      </w:tr>
      <w:tr>
        <w:trPr>
          <w:cnfStyle w:val="000000100000" w:oddHBand="1"/>
          <w:trHeight w:val="455"/>
        </w:trPr>
        <w:tc>
          <w:tcPr>
            <w:cnfStyle w:val="001000000000" w:firstColumn="1"/>
            <w:tcW w:w="600" w:type="pct"/>
            <w:shd w:val="clear" w:color="auto" w:fill="EFF0F7" w:themeFill="background2"/>
          </w:tcPr>
          <w:p>
            <w:pPr>
              <w:pStyle w:val="BSVATableText"/>
            </w:pPr>
            <w:r>
              <w:t>5</w:t>
            </w:r>
          </w:p>
        </w:tc>
        <w:tc>
          <w:tcPr>
            <w:tcW w:w="1700" w:type="pct"/>
            <w:shd w:val="clear" w:color="auto" w:fill="EFF0F7" w:themeFill="background2"/>
          </w:tcPr>
          <w:p>
            <w:pPr>
              <w:pStyle w:val="BSVATableText"/>
            </w:pPr>
            <w:r>
              <w:t>Reserve underflow on a sell</w:t>
            </w:r>
          </w:p>
        </w:tc>
        <w:tc>
          <w:tcPr>
            <w:tcW w:w="2700" w:type="pct"/>
            <w:shd w:val="clear" w:color="auto" w:fill="EFF0F7" w:themeFill="background2"/>
          </w:tcPr>
          <w:p>
            <w:pPr>
              <w:pStyle w:val="BSVATableText"/>
            </w:pPr>
            <w:r>
              <w:t>Make the refund exceed the reserve.</w:t>
            </w:r>
          </w:p>
        </w:tc>
      </w:tr>
      <w:tr>
        <w:trPr>
          <w:trHeight w:val="455"/>
        </w:trPr>
        <w:tc>
          <w:tcPr>
            <w:cnfStyle w:val="001000000000" w:firstColumn="1"/>
            <w:tcW w:w="600" w:type="pct"/>
          </w:tcPr>
          <w:p>
            <w:pPr>
              <w:pStyle w:val="BSVATableText"/>
            </w:pPr>
            <w:r>
              <w:t>6</w:t>
            </w:r>
          </w:p>
        </w:tc>
        <w:tc>
          <w:tcPr>
            <w:tcW w:w="1700" w:type="pct"/>
          </w:tcPr>
          <w:p>
            <w:pPr>
              <w:pStyle w:val="BSVATableText"/>
            </w:pPr>
            <w:r>
              <w:t>OP_PUSH_TX preimage malleability</w:t>
            </w:r>
          </w:p>
        </w:tc>
        <w:tc>
          <w:tcPr>
            <w:tcW w:w="2700" w:type="pct"/>
          </w:tcPr>
          <w:p>
            <w:pPr>
              <w:pStyle w:val="BSVATableText"/>
            </w:pPr>
            <w:r>
              <w:t>Verify the preimage is validated and that ctx.utxo.value cannot be spoofed.</w:t>
            </w:r>
          </w:p>
        </w:tc>
      </w:tr>
      <w:tr>
        <w:trPr>
          <w:cnfStyle w:val="000000100000" w:oddHBand="1"/>
          <w:trHeight w:val="455"/>
        </w:trPr>
        <w:tc>
          <w:tcPr>
            <w:cnfStyle w:val="001000000000" w:firstColumn="1"/>
            <w:tcW w:w="600" w:type="pct"/>
            <w:shd w:val="clear" w:color="auto" w:fill="EFF0F7" w:themeFill="background2"/>
          </w:tcPr>
          <w:p>
            <w:pPr>
              <w:pStyle w:val="BSVATableText"/>
            </w:pPr>
            <w:r>
              <w:t>7</w:t>
            </w:r>
          </w:p>
        </w:tc>
        <w:tc>
          <w:tcPr>
            <w:tcW w:w="1700" w:type="pct"/>
            <w:shd w:val="clear" w:color="auto" w:fill="EFF0F7" w:themeFill="background2"/>
          </w:tcPr>
          <w:p>
            <w:pPr>
              <w:pStyle w:val="BSVATableText"/>
            </w:pPr>
            <w:r>
              <w:t>holderCount manipulation</w:t>
            </w:r>
          </w:p>
        </w:tc>
        <w:tc>
          <w:tcPr>
            <w:tcW w:w="2700" w:type="pct"/>
            <w:shd w:val="clear" w:color="auto" w:fill="EFF0F7" w:themeFill="background2"/>
          </w:tcPr>
          <w:p>
            <w:pPr>
              <w:pStyle w:val="BSVATableText"/>
            </w:pPr>
            <w:r>
              <w:t>Increment without an append, or append without an increment.</w:t>
            </w:r>
          </w:p>
        </w:tc>
      </w:tr>
    </w:tbl>
    <w:p>
      <w:pPr>
        <w:pStyle w:val="Normal"/>
      </w:pPr>
    </w:p>
    <w:p>
      <w:pPr>
        <w:pStyle w:val="Normal"/>
      </w:pPr>
      <w:r>
        <w:t>Not applicable here, unlike our other curve: there is no operator key, so no key-compromise drain, and no off-chain gate to defeat.</w:t>
      </w:r>
    </w:p>
    <w:p>
      <w:pPr>
        <w:pStyle w:val="Heading1"/>
      </w:pPr>
      <w:r>
        <w:t>What is already proven on mainnet</w:t>
      </w:r>
    </w:p>
    <w:p>
      <w:pPr>
        <w:pStyle w:val="Normal"/>
      </w:pPr>
      <w:r>
        <w:t>All of the following ran on BSV mainnet with real satoshis, not on a testnet or a simulator. Transaction identifiers are given so you can inspect the bytes yourself rather than take our word for it.</w:t>
      </w:r>
    </w:p>
    <w:tbl>
      <w:tblPr>
        <w:tblStyle w:val="nChain"/>
        <w:tblW w:w="5000" w:type="pct"/>
        <w:tblLook w:val="04A0" w:firstRow="1" w:lastRow="0" w:firstColumn="1" w:lastColumn="0" w:noHBand="0" w:noVBand="1"/>
      </w:tblPr>
      <w:tblGrid>
        <w:gridCol w:w="3353"/>
        <w:gridCol w:w="3748"/>
        <w:gridCol w:w="2761"/>
      </w:tblGrid>
      <w:tr>
        <w:trPr>
          <w:cnfStyle w:val="100000000000" w:firstRow="1"/>
          <w:trHeight w:val="432"/>
        </w:trPr>
        <w:tc>
          <w:tcPr>
            <w:cnfStyle w:val="001000000000" w:firstColumn="1"/>
            <w:tcW w:w="1700" w:type="pct"/>
            <w:vAlign w:val="center"/>
          </w:tcPr>
          <w:p>
            <w:pPr>
              <w:pStyle w:val="BSVATableHeader"/>
            </w:pPr>
            <w:r>
              <w:t>What</w:t>
            </w:r>
          </w:p>
        </w:tc>
        <w:tc>
          <w:tcPr>
            <w:tcW w:w="1900" w:type="pct"/>
            <w:vAlign w:val="center"/>
          </w:tcPr>
          <w:p>
            <w:pPr>
              <w:pStyle w:val="BSVATableHeader"/>
            </w:pPr>
            <w:r>
              <w:t>Result</w:t>
            </w:r>
          </w:p>
        </w:tc>
        <w:tc>
          <w:tcPr>
            <w:tcW w:w="1400" w:type="pct"/>
            <w:vAlign w:val="center"/>
          </w:tcPr>
          <w:p>
            <w:pPr>
              <w:pStyle w:val="BSVATableHeader"/>
            </w:pPr>
            <w:r>
              <w:t>Reference</w:t>
            </w:r>
          </w:p>
        </w:tc>
      </w:tr>
      <w:tr>
        <w:trPr>
          <w:cnfStyle w:val="000000100000" w:oddHBand="1"/>
          <w:trHeight w:val="455"/>
        </w:trPr>
        <w:tc>
          <w:tcPr>
            <w:cnfStyle w:val="001000000000" w:firstColumn="1"/>
            <w:tcW w:w="1700" w:type="pct"/>
            <w:shd w:val="clear" w:color="auto" w:fill="EFF0F7" w:themeFill="background2"/>
          </w:tcPr>
          <w:p>
            <w:pPr>
              <w:pStyle w:val="BSVATableText"/>
            </w:pPr>
            <w:r>
              <w:t>Full lifecycle</w:t>
            </w:r>
          </w:p>
        </w:tc>
        <w:tc>
          <w:tcPr>
            <w:tcW w:w="1900" w:type="pct"/>
            <w:shd w:val="clear" w:color="auto" w:fill="EFF0F7" w:themeFill="background2"/>
          </w:tcPr>
          <w:p>
            <w:pPr>
              <w:pStyle w:val="BSVATableText"/>
            </w:pPr>
            <w:r>
              <w:t>deploy, buy, sell, sell-out, graduate, mint, deliver</w:t>
            </w:r>
          </w:p>
        </w:tc>
        <w:tc>
          <w:tcPr>
            <w:tcW w:w="1400" w:type="pct"/>
            <w:shd w:val="clear" w:color="auto" w:fill="EFF0F7" w:themeFill="background2"/>
          </w:tcPr>
          <w:p>
            <w:pPr>
              <w:pStyle w:val="BSVATableText"/>
            </w:pPr>
            <w:r>
              <w:t>pool 38d331f7</w:t>
            </w:r>
          </w:p>
        </w:tc>
      </w:tr>
      <w:tr>
        <w:trPr>
          <w:trHeight w:val="455"/>
        </w:trPr>
        <w:tc>
          <w:tcPr>
            <w:cnfStyle w:val="001000000000" w:firstColumn="1"/>
            <w:tcW w:w="1700" w:type="pct"/>
          </w:tcPr>
          <w:p>
            <w:pPr>
              <w:pStyle w:val="BSVATableText"/>
            </w:pPr>
            <w:r>
              <w:t>Script size is constant in holder count</w:t>
            </w:r>
          </w:p>
        </w:tc>
        <w:tc>
          <w:tcPr>
            <w:tcW w:w="1900" w:type="pct"/>
          </w:tcPr>
          <w:p>
            <w:pPr>
              <w:pStyle w:val="BSVATableText"/>
            </w:pPr>
            <w:r>
              <w:t>11,864 bytes at every step</w:t>
            </w:r>
          </w:p>
        </w:tc>
        <w:tc>
          <w:tcPr>
            <w:tcW w:w="1400" w:type="pct"/>
          </w:tcPr>
          <w:p>
            <w:pPr>
              <w:pStyle w:val="BSVATableText"/>
            </w:pPr>
            <w:r>
              <w:t>pool 4c6faf97</w:t>
            </w:r>
          </w:p>
        </w:tc>
      </w:tr>
      <w:tr>
        <w:trPr>
          <w:cnfStyle w:val="000000100000" w:oddHBand="1"/>
          <w:trHeight w:val="455"/>
        </w:trPr>
        <w:tc>
          <w:tcPr>
            <w:cnfStyle w:val="001000000000" w:firstColumn="1"/>
            <w:tcW w:w="1700" w:type="pct"/>
            <w:shd w:val="clear" w:color="auto" w:fill="EFF0F7" w:themeFill="background2"/>
          </w:tcPr>
          <w:p>
            <w:pPr>
              <w:pStyle w:val="BSVATableText"/>
            </w:pPr>
            <w:r>
              <w:t>Byte-level attacks on the unlocking script</w:t>
            </w:r>
          </w:p>
        </w:tc>
        <w:tc>
          <w:tcPr>
            <w:tcW w:w="1900" w:type="pct"/>
            <w:shd w:val="clear" w:color="auto" w:fill="EFF0F7" w:themeFill="background2"/>
          </w:tcPr>
          <w:p>
            <w:pPr>
              <w:pStyle w:val="BSVATableText"/>
            </w:pPr>
            <w:r>
              <w:t>34 of 34 repelled</w:t>
            </w:r>
          </w:p>
        </w:tc>
        <w:tc>
          <w:tcPr>
            <w:tcW w:w="1400" w:type="pct"/>
            <w:shd w:val="clear" w:color="auto" w:fill="EFF0F7" w:themeFill="background2"/>
          </w:tcPr>
          <w:p>
            <w:pPr>
              <w:pStyle w:val="BSVATableText"/>
            </w:pPr>
            <w:r>
              <w:t>verify-merkle-adversarial.ts</w:t>
            </w:r>
          </w:p>
        </w:tc>
      </w:tr>
      <w:tr>
        <w:trPr>
          <w:trHeight w:val="455"/>
        </w:trPr>
        <w:tc>
          <w:tcPr>
            <w:cnfStyle w:val="001000000000" w:firstColumn="1"/>
            <w:tcW w:w="1700" w:type="pct"/>
          </w:tcPr>
          <w:p>
            <w:pPr>
              <w:pStyle w:val="BSVATableText"/>
            </w:pPr>
            <w:r>
              <w:t>Ledger rebuilt from chain alone, no database</w:t>
            </w:r>
          </w:p>
        </w:tc>
        <w:tc>
          <w:tcPr>
            <w:tcW w:w="1900" w:type="pct"/>
          </w:tcPr>
          <w:p>
            <w:pPr>
              <w:pStyle w:val="BSVATableText"/>
            </w:pPr>
            <w:r>
              <w:t>16 of 16, holder recovered whose key no longer exists</w:t>
            </w:r>
          </w:p>
        </w:tc>
        <w:tc>
          <w:tcPr>
            <w:tcW w:w="1400" w:type="pct"/>
          </w:tcPr>
          <w:p>
            <w:pPr>
              <w:pStyle w:val="BSVATableText"/>
            </w:pPr>
            <w:r>
              <w:t>verify-merkle-resolve.ts</w:t>
            </w:r>
          </w:p>
        </w:tc>
      </w:tr>
      <w:tr>
        <w:trPr>
          <w:cnfStyle w:val="000000100000" w:oddHBand="1"/>
          <w:trHeight w:val="455"/>
        </w:trPr>
        <w:tc>
          <w:tcPr>
            <w:cnfStyle w:val="001000000000" w:firstColumn="1"/>
            <w:tcW w:w="1700" w:type="pct"/>
            <w:shd w:val="clear" w:color="auto" w:fill="EFF0F7" w:themeFill="background2"/>
          </w:tcPr>
          <w:p>
            <w:pPr>
              <w:pStyle w:val="BSVATableText"/>
            </w:pPr>
            <w:r>
              <w:t>Permissionless graduation by a stranger</w:t>
            </w:r>
          </w:p>
        </w:tc>
        <w:tc>
          <w:tcPr>
            <w:tcW w:w="1900" w:type="pct"/>
            <w:shd w:val="clear" w:color="auto" w:fill="EFF0F7" w:themeFill="background2"/>
          </w:tcPr>
          <w:p>
            <w:pPr>
              <w:pStyle w:val="BSVATableText"/>
            </w:pPr>
            <w:r>
              <w:t>reserve reached the committed payout; caller net negative</w:t>
            </w:r>
          </w:p>
        </w:tc>
        <w:tc>
          <w:tcPr>
            <w:tcW w:w="1400" w:type="pct"/>
            <w:shd w:val="clear" w:color="auto" w:fill="EFF0F7" w:themeFill="background2"/>
          </w:tcPr>
          <w:p>
            <w:pPr>
              <w:pStyle w:val="BSVATableText"/>
            </w:pPr>
            <w:r>
              <w:t>graduation 82e5dd53</w:t>
            </w:r>
          </w:p>
        </w:tc>
      </w:tr>
      <w:tr>
        <w:trPr>
          <w:trHeight w:val="455"/>
        </w:trPr>
        <w:tc>
          <w:tcPr>
            <w:cnfStyle w:val="001000000000" w:firstColumn="1"/>
            <w:tcW w:w="1700" w:type="pct"/>
          </w:tcPr>
          <w:p>
            <w:pPr>
              <w:pStyle w:val="BSVATableText"/>
            </w:pPr>
            <w:r>
              <w:t>Contention: two spenders, same tip</w:t>
            </w:r>
          </w:p>
        </w:tc>
        <w:tc>
          <w:tcPr>
            <w:tcW w:w="1900" w:type="pct"/>
          </w:tcPr>
          <w:p>
            <w:pPr>
              <w:pStyle w:val="BSVATableText"/>
            </w:pPr>
            <w:r>
              <w:t>loser rejected by the node, then re-signed and landed</w:t>
            </w:r>
          </w:p>
        </w:tc>
        <w:tc>
          <w:tcPr>
            <w:tcW w:w="1400" w:type="pct"/>
          </w:tcPr>
          <w:p>
            <w:pPr>
              <w:pStyle w:val="BSVATableText"/>
            </w:pPr>
            <w:r>
              <w:t>pool 31820de7</w:t>
            </w:r>
          </w:p>
        </w:tc>
      </w:tr>
      <w:tr>
        <w:trPr>
          <w:cnfStyle w:val="000000100000" w:oddHBand="1"/>
          <w:trHeight w:val="455"/>
        </w:trPr>
        <w:tc>
          <w:tcPr>
            <w:cnfStyle w:val="001000000000" w:firstColumn="1"/>
            <w:tcW w:w="1700" w:type="pct"/>
            <w:shd w:val="clear" w:color="auto" w:fill="EFF0F7" w:themeFill="background2"/>
          </w:tcPr>
          <w:p>
            <w:pPr>
              <w:pStyle w:val="BSVATableText"/>
            </w:pPr>
            <w:r>
              <w:t>Economic invariants under random buy/sell</w:t>
            </w:r>
          </w:p>
        </w:tc>
        <w:tc>
          <w:tcPr>
            <w:tcW w:w="1900" w:type="pct"/>
            <w:shd w:val="clear" w:color="auto" w:fill="EFF0F7" w:themeFill="background2"/>
          </w:tcPr>
          <w:p>
            <w:pPr>
              <w:pStyle w:val="BSVATableText"/>
            </w:pPr>
            <w:r>
              <w:t>54 unit tests including a 40-seed fuzz</w:t>
            </w:r>
          </w:p>
        </w:tc>
        <w:tc>
          <w:tcPr>
            <w:tcW w:w="1400" w:type="pct"/>
            <w:shd w:val="clear" w:color="auto" w:fill="EFF0F7" w:themeFill="background2"/>
          </w:tcPr>
          <w:p>
            <w:pPr>
              <w:pStyle w:val="BSVATableText"/>
            </w:pPr>
            <w:r>
              <w:t>merkle-solvency.test.mjs</w:t>
            </w:r>
          </w:p>
        </w:tc>
      </w:tr>
    </w:tbl>
    <w:p>
      <w:pPr>
        <w:pStyle w:val="Heading1"/>
      </w:pPr>
      <w:r>
        <w:t>What we have not tested</w:t>
      </w:r>
    </w:p>
    <w:p>
      <w:pPr>
        <w:pStyle w:val="Normal"/>
      </w:pPr>
      <w:r>
        <w:t>Stated plainly, because a review is worth less if it starts from an inflated picture of our coverage.</w:t>
      </w:r>
    </w:p>
    <w:p>
      <w:pPr>
        <w:pStyle w:val="ListBullet"/>
      </w:pPr>
      <w:r>
        <w:t>The Script has been attacked but not fuzzed. Thirty-four hand-designed byte-level attacks is not randomised or mutational fuzzing. Untried: random sibling and path corruption at scale, malformed pushdata framing, out-of-range path values, and non-minimal scriptNum encodings of the numeric arguments.</w:t>
      </w:r>
    </w:p>
    <w:p>
      <w:pPr>
        <w:pStyle w:val="ListBullet"/>
      </w:pPr>
      <w:r>
        <w:t>No formal argument that the off-chain and in-script folds are equivalent. They agree on every case we test. That is not a proof.</w:t>
      </w:r>
    </w:p>
    <w:p>
      <w:pPr>
        <w:pStyle w:val="ListBullet"/>
      </w:pPr>
      <w:r>
        <w:t>The depth boundary is unexercised live. Slot 65,535 proves correctly off-chain, but genuine slot exhaustion would take 65,536 real appends and has never happened.</w:t>
      </w:r>
    </w:p>
    <w:p>
      <w:pPr>
        <w:pStyle w:val="ListBullet"/>
      </w:pPr>
      <w:r>
        <w:t>The 8-byte balance ceiling is untested on-chain. Nothing in the covenant bounds k or supply, so a deployer could in principle choose terms a balance cannot represent. The curve cost explodes long before that binds, but it is not enforced.</w:t>
      </w:r>
    </w:p>
    <w:p>
      <w:pPr>
        <w:pStyle w:val="ListBullet"/>
      </w:pPr>
      <w:r>
        <w:t>Graduation delivery is not enforced. Converting final balances into wallet-held tokens after graduation is a promise, not a covenant guarantee — see the note below.</w:t>
      </w:r>
    </w:p>
    <w:p>
      <w:pPr>
        <w:pStyle w:val="Heading1"/>
      </w:pPr>
      <w:r>
        <w:t>One known and accepted weakness</w:t>
      </w:r>
    </w:p>
    <w:p>
      <w:pPr>
        <w:pStyle w:val="Normal"/>
      </w:pPr>
      <w:r>
        <w:t>Everything up to graduation is enforced by the script. The step after it is not.</w:t>
      </w:r>
    </w:p>
    <w:p>
      <w:pPr>
        <w:pStyle w:val="Normal"/>
      </w:pPr>
      <w:r>
        <w:t>When a curve sells out, the reserve goes to the project and holders are left with balances in a final ledger. Converting those into wallet-held tokens is something the project must choose to do. We cannot make the covenant do it, because a token's ownership gate is a pay-to-public-key-hash check requiring a signature, and a covenant spends by inspecting a transaction preimage rather than by holding keys. A covenant can therefore never custody these tokens, which rules out the obvious design of releasing them against an inclusion proof.</w:t>
      </w:r>
    </w:p>
    <w:p>
      <w:pPr>
        <w:pStyle w:val="Normal"/>
      </w:pPr>
      <w:r>
        <w:t>What survives is accountability rather than enforcement: the amount owed is recomputable from the deploy transaction forever, by anyone, without the project's cooperation. We surface it in the interface before a buyer commits. We would value your opinion on whether the bond mechanism we have specified to close this is worth building, or whether the disclosure is the right stopping point.</w:t>
      </w:r>
    </w:p>
    <w:p>
      <w:pPr>
        <w:pStyle w:val="Heading1"/>
      </w:pPr>
      <w:r>
        <w:t>What we would like back</w:t>
      </w:r>
    </w:p>
    <w:p>
      <w:pPr>
        <w:pStyle w:val="ListBullet"/>
      </w:pPr>
      <w:r>
        <w:t>A finding-by-finding response to the eight invariants and seven drain vectors above.</w:t>
      </w:r>
    </w:p>
    <w:p>
      <w:pPr>
        <w:pStyle w:val="ListBullet"/>
      </w:pPr>
      <w:r>
        <w:t>Explicit coverage of the five untested areas — especially fuzzing, which we cannot credibly do on our own work.</w:t>
      </w:r>
    </w:p>
    <w:p>
      <w:pPr>
        <w:pStyle w:val="ListBullet"/>
      </w:pPr>
      <w:r>
        <w:t>A go or no-go, with a maximum reserve size you would be comfortable with.</w:t>
      </w:r>
    </w:p>
    <w:p>
      <w:pPr>
        <w:pStyle w:val="ListBullet"/>
      </w:pPr>
      <w:r>
        <w:t>A re-audit trigger list: which changes should send this back to you.</w:t>
      </w:r>
    </w:p>
    <w:p>
      <w:pPr>
        <w:pStyle w:val="Normal"/>
      </w:pPr>
    </w:p>
    <w:p>
      <w:pPr>
        <w:pStyle w:val="Normal"/>
      </w:pPr>
      <w:r>
        <w:t>There is no deadline pressure and no commercial dependency on a positive answer. If the covenant is unsound we would rather learn it now, while the only money at risk is roughly ninety thousand satoshis of our own test funds.</w:t>
      </w:r>
    </w:p>
    <w:p>
      <w:pPr>
        <w:pStyle w:val="Heading1"/>
      </w:pPr>
      <w:r>
        <w:t>Where to start</w:t>
      </w:r>
    </w:p>
    <w:p>
      <w:pPr>
        <w:pStyle w:val="Normal"/>
      </w:pPr>
      <w:r>
        <w:t>The full audit package, including the material summarised here, is in the repository at docs/AUDIT-PREP-MERKLE-LEDGER.md. It carries the same invariants and vectors with file-level references. The covenant itself is under two hundred lines of sCrypt and is the right place to begin.</w:t>
      </w:r>
    </w:p>
    <w:p>
      <w:pPr>
        <w:pStyle w:val="Normal"/>
      </w:pPr>
    </w:p>
    <w:p>
      <w:pPr>
        <w:pStyle w:val="Normal"/>
      </w:pPr>
      <w:r>
        <w:t>A second, separate covenant exists for our operator-settled curve (docs/COVENANT-AUDIT-PREP.md). It has a different trust model — it does have an operator key — so findings do not transfer between the two. Review whichever is being deployed; if that is both, they are two engagements.</w:t>
      </w:r>
    </w:p>
    <w:sectPr w:rsidR="00F9441A" w:rsidRPr="00B71CE9" w:rsidSect="006A047C">
      <w:headerReference w:type="even" r:id="rId16"/>
      <w:headerReference w:type="default" r:id="rId17"/>
      <w:footerReference w:type="even" r:id="rId18"/>
      <w:footerReference w:type="default" r:id="rId19"/>
      <w:headerReference w:type="first" r:id="rId20"/>
      <w:footerReference w:type="first" r:id="rId21"/>
      <w:pgSz w:w="11906" w:h="16838"/>
      <w:pgMar w:top="1871" w:right="1021" w:bottom="1247" w:left="1021" w:header="709" w:footer="65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F11D4" w14:textId="77777777" w:rsidR="002C055D" w:rsidRDefault="002C055D" w:rsidP="001F288B">
      <w:r>
        <w:separator/>
      </w:r>
    </w:p>
  </w:endnote>
  <w:endnote w:type="continuationSeparator" w:id="0">
    <w:p w14:paraId="27D7485E" w14:textId="77777777" w:rsidR="002C055D" w:rsidRDefault="002C055D" w:rsidP="001F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8000029" w:usb3="00000000" w:csb0="0000019F" w:csb1="00000000"/>
  </w:font>
  <w:font w:name="Chillax Semibold">
    <w:altName w:val="Calibri"/>
    <w:panose1 w:val="020B0604020202020204"/>
    <w:charset w:val="4D"/>
    <w:family w:val="auto"/>
    <w:notTrueType/>
    <w:pitch w:val="variable"/>
    <w:sig w:usb0="80000067"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 w:name="Noto Sans SemBd">
    <w:altName w:val="Calibri"/>
    <w:panose1 w:val="020B0604020202020204"/>
    <w:charset w:val="00"/>
    <w:family w:val="swiss"/>
    <w:pitch w:val="variable"/>
    <w:sig w:usb0="E00002FF" w:usb1="4000201F" w:usb2="08000029" w:usb3="00000000" w:csb0="0000019F" w:csb1="00000000"/>
  </w:font>
  <w:font w:name="Source Sans Pro Regular">
    <w:altName w:val="Source Sans Pro"/>
    <w:panose1 w:val="020B0604020202020204"/>
    <w:charset w:val="00"/>
    <w:family w:val="swiss"/>
    <w:pitch w:val="variable"/>
    <w:sig w:usb0="600002F7" w:usb1="02000001" w:usb2="00000000" w:usb3="00000000" w:csb0="0000019F" w:csb1="00000000"/>
  </w:font>
  <w:font w:name="Gibson">
    <w:altName w:val="Calibri"/>
    <w:panose1 w:val="020B0604020202020204"/>
    <w:charset w:val="4D"/>
    <w:family w:val="auto"/>
    <w:pitch w:val="variable"/>
    <w:sig w:usb0="A000002F" w:usb1="5000004A"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AE4F1" w14:textId="77777777" w:rsidR="00FB2FBA" w:rsidRDefault="00FB2F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3C212" w14:textId="77777777" w:rsidR="00BC532E" w:rsidRPr="00BF2F8B" w:rsidRDefault="00960B76" w:rsidP="00BF2F8B">
    <w:pPr>
      <w:pStyle w:val="Footer"/>
      <w:tabs>
        <w:tab w:val="clear" w:pos="9026"/>
        <w:tab w:val="right" w:pos="9864"/>
      </w:tabs>
    </w:pPr>
    <w:r w:rsidRPr="00BF2F8B">
      <w:t>Version 1.0</w:t>
    </w:r>
    <w:r w:rsidR="00ED6DA0" w:rsidRPr="00BF2F8B">
      <w:tab/>
    </w:r>
    <w:r w:rsidR="00ED6DA0" w:rsidRPr="00BF2F8B">
      <w:tab/>
    </w:r>
    <w:r w:rsidR="00BF2F8B" w:rsidRPr="00BF2F8B">
      <w:t xml:space="preserve"> </w:t>
    </w:r>
    <w:r w:rsidR="00BC532E" w:rsidRPr="00BF2F8B">
      <w:rPr>
        <w:rStyle w:val="PageNumber"/>
      </w:rPr>
      <w:fldChar w:fldCharType="begin"/>
    </w:r>
    <w:r w:rsidR="00BC532E" w:rsidRPr="00BF2F8B">
      <w:rPr>
        <w:rStyle w:val="PageNumber"/>
      </w:rPr>
      <w:instrText xml:space="preserve"> PAGE  \* Arabic  \* MERGEFORMAT </w:instrText>
    </w:r>
    <w:r w:rsidR="00BC532E" w:rsidRPr="00BF2F8B">
      <w:rPr>
        <w:rStyle w:val="PageNumber"/>
      </w:rPr>
      <w:fldChar w:fldCharType="separate"/>
    </w:r>
    <w:r w:rsidR="00BC532E" w:rsidRPr="00BF2F8B">
      <w:rPr>
        <w:rStyle w:val="PageNumber"/>
      </w:rPr>
      <w:t>2</w:t>
    </w:r>
    <w:r w:rsidR="00BC532E" w:rsidRPr="00BF2F8B">
      <w:rPr>
        <w:rStyle w:val="PageNumber"/>
      </w:rPr>
      <w:fldChar w:fldCharType="end"/>
    </w:r>
    <w:r w:rsidR="00BC532E" w:rsidRPr="00BF2F8B">
      <w:rPr>
        <w:rStyle w:val="PageNumber"/>
      </w:rPr>
      <w:t xml:space="preserve"> of </w:t>
    </w:r>
    <w:r w:rsidR="00BC532E" w:rsidRPr="00BF2F8B">
      <w:rPr>
        <w:rStyle w:val="PageNumber"/>
      </w:rPr>
      <w:fldChar w:fldCharType="begin"/>
    </w:r>
    <w:r w:rsidR="00BC532E" w:rsidRPr="00BF2F8B">
      <w:rPr>
        <w:rStyle w:val="PageNumber"/>
      </w:rPr>
      <w:instrText xml:space="preserve"> NUMPAGES  \* Arabic  \* MERGEFORMAT </w:instrText>
    </w:r>
    <w:r w:rsidR="00BC532E" w:rsidRPr="00BF2F8B">
      <w:rPr>
        <w:rStyle w:val="PageNumber"/>
      </w:rPr>
      <w:fldChar w:fldCharType="separate"/>
    </w:r>
    <w:r w:rsidR="00BC532E" w:rsidRPr="00BF2F8B">
      <w:rPr>
        <w:rStyle w:val="PageNumber"/>
      </w:rPr>
      <w:t>2</w:t>
    </w:r>
    <w:r w:rsidR="00BC532E" w:rsidRPr="00BF2F8B">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1DB0" w14:textId="77777777" w:rsidR="00FB2FBA" w:rsidRDefault="00FB2FB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E7E3E" w14:textId="77777777" w:rsidR="00F9441A" w:rsidRDefault="00F944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2C8DE" w14:textId="77777777" w:rsidR="002C055D" w:rsidRPr="006B3377" w:rsidRDefault="002C055D" w:rsidP="006B3377">
      <w:pPr>
        <w:pStyle w:val="Footer"/>
        <w:rPr>
          <w:lang w:val="de-AT"/>
        </w:rPr>
      </w:pPr>
    </w:p>
  </w:footnote>
  <w:footnote w:type="continuationSeparator" w:id="0">
    <w:p w14:paraId="3A6EF24A" w14:textId="77777777" w:rsidR="002C055D" w:rsidRDefault="002C055D" w:rsidP="001F288B">
      <w:r>
        <w:continuationSeparator/>
      </w:r>
    </w:p>
  </w:footnote>
  <w:footnote w:id="1">
    <w:p w14:paraId="5718BB35" w14:textId="77777777" w:rsidR="00B62205" w:rsidRPr="009221E8" w:rsidRDefault="00B62205" w:rsidP="005D6DE0">
      <w:pPr>
        <w:pStyle w:val="FootnoteText"/>
        <w:rPr>
          <w:lang w:val="en-US"/>
        </w:rPr>
      </w:pPr>
      <w:r>
        <w:rPr>
          <w:rStyle w:val="FootnoteReference"/>
        </w:rPr>
        <w:footnoteRef/>
      </w:r>
      <w:r>
        <w:t xml:space="preserve"> </w:t>
      </w:r>
      <w:r w:rsidR="009221E8" w:rsidRPr="005D6DE0">
        <w:t>BSVA | Footnote text. consetetur sadipscing elitr, sed diam nonumy eirmod tempor invidunt ut labore et dolore magna aliquyam</w:t>
      </w:r>
      <w:r w:rsidR="00D65087" w:rsidRPr="005D6DE0">
        <w:t xml:space="preserve"> et dolore magna aliquyam erat, sed. At vero eos et accusam et justo duo dolores et stet clita diam voluptua.</w:t>
      </w:r>
    </w:p>
  </w:footnote>
  <w:footnote w:id="2">
    <w:p w14:paraId="6AD2CD76" w14:textId="77777777" w:rsidR="00D65087" w:rsidRPr="00D65087" w:rsidRDefault="00D65087" w:rsidP="005D6DE0">
      <w:pPr>
        <w:pStyle w:val="FootnoteText"/>
        <w:rPr>
          <w:lang w:val="en-US"/>
        </w:rPr>
      </w:pPr>
      <w:r>
        <w:rPr>
          <w:rStyle w:val="FootnoteReference"/>
        </w:rPr>
        <w:footnoteRef/>
      </w:r>
      <w:r>
        <w:t xml:space="preserve"> </w:t>
      </w:r>
      <w:r w:rsidRPr="00906F62">
        <w:t xml:space="preserve">Lorem ipsum dolor sit amet, consetetur sadipscing elitr, sed diam nonumy eirmod tempor invidunt </w:t>
      </w:r>
      <w:r>
        <w:t>s</w:t>
      </w:r>
      <w:r w:rsidRPr="00906F62">
        <w:t>ut</w:t>
      </w:r>
      <w:r w:rsidR="005D6DE0">
        <w:t xml:space="preserve"> rana dixit a folio.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95305" w14:textId="77777777" w:rsidR="00FB2FBA" w:rsidRDefault="00FB2F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8E50A" w14:textId="77777777" w:rsidR="00BC532E" w:rsidRPr="00E709F3" w:rsidRDefault="00F46585" w:rsidP="00E709F3">
    <w:pPr>
      <w:pStyle w:val="Header"/>
    </w:pPr>
    <w:r w:rsidRPr="00E709F3">
      <w:drawing>
        <wp:anchor distT="0" distB="0" distL="114300" distR="114300" simplePos="0" relativeHeight="251665408" behindDoc="1" locked="0" layoutInCell="1" allowOverlap="1" wp14:anchorId="6496A9DD" wp14:editId="02FF6718">
          <wp:simplePos x="0" y="0"/>
          <wp:positionH relativeFrom="margin">
            <wp:posOffset>-648335</wp:posOffset>
          </wp:positionH>
          <wp:positionV relativeFrom="paragraph">
            <wp:posOffset>-411849</wp:posOffset>
          </wp:positionV>
          <wp:extent cx="7543800" cy="10662578"/>
          <wp:effectExtent l="0" t="0" r="0" b="5715"/>
          <wp:wrapNone/>
          <wp:docPr id="961837136" name="Picture 10" descr="A black background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37136" name="Picture 10" descr="A black background with a black bord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44214" cy="10663163"/>
                  </a:xfrm>
                  <a:prstGeom prst="rect">
                    <a:avLst/>
                  </a:prstGeom>
                </pic:spPr>
              </pic:pic>
            </a:graphicData>
          </a:graphic>
          <wp14:sizeRelH relativeFrom="page">
            <wp14:pctWidth>0</wp14:pctWidth>
          </wp14:sizeRelH>
          <wp14:sizeRelV relativeFrom="page">
            <wp14:pctHeight>0</wp14:pctHeight>
          </wp14:sizeRelV>
        </wp:anchor>
      </w:drawing>
    </w:r>
    <w:r w:rsidR="00BC532E" w:rsidRPr="00E709F3">
      <w:drawing>
        <wp:anchor distT="0" distB="0" distL="114300" distR="114300" simplePos="0" relativeHeight="251663360" behindDoc="1" locked="0" layoutInCell="1" allowOverlap="1" wp14:anchorId="1B22B519" wp14:editId="1D8A4E76">
          <wp:simplePos x="0" y="0"/>
          <wp:positionH relativeFrom="column">
            <wp:posOffset>4711809</wp:posOffset>
          </wp:positionH>
          <wp:positionV relativeFrom="paragraph">
            <wp:posOffset>-8255</wp:posOffset>
          </wp:positionV>
          <wp:extent cx="1563370" cy="106045"/>
          <wp:effectExtent l="0" t="0" r="0" b="0"/>
          <wp:wrapNone/>
          <wp:docPr id="189972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2467" name="Picture 189972467"/>
                  <pic:cNvPicPr/>
                </pic:nvPicPr>
                <pic:blipFill>
                  <a:blip r:embed="rId2"/>
                  <a:stretch>
                    <a:fillRect/>
                  </a:stretch>
                </pic:blipFill>
                <pic:spPr>
                  <a:xfrm>
                    <a:off x="0" y="0"/>
                    <a:ext cx="1563370" cy="106045"/>
                  </a:xfrm>
                  <a:prstGeom prst="rect">
                    <a:avLst/>
                  </a:prstGeom>
                </pic:spPr>
              </pic:pic>
            </a:graphicData>
          </a:graphic>
          <wp14:sizeRelH relativeFrom="page">
            <wp14:pctWidth>0</wp14:pctWidth>
          </wp14:sizeRelH>
          <wp14:sizeRelV relativeFrom="page">
            <wp14:pctHeight>0</wp14:pctHeight>
          </wp14:sizeRelV>
        </wp:anchor>
      </w:drawing>
    </w:r>
    <w:r w:rsidR="00BC532E" w:rsidRPr="00E709F3">
      <w:t>Trustless Bonding-Curve Covenant — Review Brief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0740C" w14:textId="77777777" w:rsidR="00443C6D" w:rsidRDefault="00224883" w:rsidP="00E709F3">
    <w:pPr>
      <w:pStyle w:val="Header"/>
    </w:pPr>
    <w:r>
      <w:drawing>
        <wp:anchor distT="0" distB="0" distL="114300" distR="114300" simplePos="0" relativeHeight="251658240" behindDoc="1" locked="0" layoutInCell="1" allowOverlap="1" wp14:anchorId="5DF0CF32" wp14:editId="7A499231">
          <wp:simplePos x="0" y="0"/>
          <wp:positionH relativeFrom="margin">
            <wp:posOffset>-658495</wp:posOffset>
          </wp:positionH>
          <wp:positionV relativeFrom="margin">
            <wp:posOffset>-1181784</wp:posOffset>
          </wp:positionV>
          <wp:extent cx="7621566" cy="10772138"/>
          <wp:effectExtent l="0" t="0" r="0" b="0"/>
          <wp:wrapNone/>
          <wp:docPr id="1952761755" name="Picture 2" descr="A blue and black background with many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61755" name="Picture 2" descr="A blue and black background with many triangl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21566" cy="10772138"/>
                  </a:xfrm>
                  <a:prstGeom prst="rect">
                    <a:avLst/>
                  </a:prstGeom>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660288" behindDoc="1" locked="0" layoutInCell="1" allowOverlap="1" wp14:anchorId="737A6A9E" wp14:editId="3A59232A">
          <wp:simplePos x="0" y="0"/>
          <wp:positionH relativeFrom="column">
            <wp:posOffset>-939</wp:posOffset>
          </wp:positionH>
          <wp:positionV relativeFrom="paragraph">
            <wp:posOffset>29845</wp:posOffset>
          </wp:positionV>
          <wp:extent cx="1796415" cy="1378585"/>
          <wp:effectExtent l="0" t="0" r="0" b="5715"/>
          <wp:wrapNone/>
          <wp:docPr id="1700228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28319" name="Picture 1700228319"/>
                  <pic:cNvPicPr/>
                </pic:nvPicPr>
                <pic:blipFill>
                  <a:blip r:embed="rId2"/>
                  <a:stretch>
                    <a:fillRect/>
                  </a:stretch>
                </pic:blipFill>
                <pic:spPr>
                  <a:xfrm>
                    <a:off x="0" y="0"/>
                    <a:ext cx="1796415" cy="1378585"/>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2008" w14:textId="77777777" w:rsidR="00F9441A" w:rsidRDefault="00407FBD" w:rsidP="00E709F3">
    <w:pPr>
      <w:pStyle w:val="Header"/>
    </w:pPr>
    <w:r>
      <w:drawing>
        <wp:anchor distT="0" distB="0" distL="114300" distR="114300" simplePos="0" relativeHeight="251672576" behindDoc="1" locked="0" layoutInCell="1" allowOverlap="1" wp14:anchorId="08A6CE2A" wp14:editId="023FD4D0">
          <wp:simplePos x="0" y="0"/>
          <wp:positionH relativeFrom="margin">
            <wp:posOffset>3121412</wp:posOffset>
          </wp:positionH>
          <wp:positionV relativeFrom="margin">
            <wp:posOffset>-1188085</wp:posOffset>
          </wp:positionV>
          <wp:extent cx="8040295" cy="12659311"/>
          <wp:effectExtent l="0" t="0" r="0" b="0"/>
          <wp:wrapNone/>
          <wp:docPr id="336967841" name="Picture 2" descr="A blue and black background with many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61755" name="Picture 2" descr="A blue and black background with many triangles&#10;&#10;Description automatically generated"/>
                  <pic:cNvPicPr/>
                </pic:nvPicPr>
                <pic:blipFill rotWithShape="1">
                  <a:blip r:embed="rId1">
                    <a:extLst>
                      <a:ext uri="{28A0092B-C50C-407E-A947-70E740481C1C}">
                        <a14:useLocalDpi xmlns:a14="http://schemas.microsoft.com/office/drawing/2010/main" val="0"/>
                      </a:ext>
                    </a:extLst>
                  </a:blip>
                  <a:srcRect l="54736" t="1" r="-28014" b="18368"/>
                  <a:stretch/>
                </pic:blipFill>
                <pic:spPr bwMode="auto">
                  <a:xfrm>
                    <a:off x="0" y="0"/>
                    <a:ext cx="8040295" cy="1265931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F68FE" w:rsidRPr="00B71CE9">
      <mc:AlternateContent>
        <mc:Choice Requires="wps">
          <w:drawing>
            <wp:anchor distT="0" distB="0" distL="114300" distR="114300" simplePos="0" relativeHeight="251674624" behindDoc="0" locked="0" layoutInCell="1" allowOverlap="1" wp14:anchorId="65D3E1D6" wp14:editId="0C8BCA61">
              <wp:simplePos x="0" y="0"/>
              <wp:positionH relativeFrom="column">
                <wp:posOffset>49907</wp:posOffset>
              </wp:positionH>
              <wp:positionV relativeFrom="paragraph">
                <wp:posOffset>3685540</wp:posOffset>
              </wp:positionV>
              <wp:extent cx="3854547" cy="5950633"/>
              <wp:effectExtent l="0" t="0" r="6350" b="5715"/>
              <wp:wrapNone/>
              <wp:docPr id="485502812" name="Text Box 16"/>
              <wp:cNvGraphicFramePr/>
              <a:graphic xmlns:a="http://schemas.openxmlformats.org/drawingml/2006/main">
                <a:graphicData uri="http://schemas.microsoft.com/office/word/2010/wordprocessingShape">
                  <wps:wsp>
                    <wps:cNvSpPr txBox="1"/>
                    <wps:spPr>
                      <a:xfrm>
                        <a:off x="0" y="0"/>
                        <a:ext cx="3854547" cy="5950633"/>
                      </a:xfrm>
                      <a:prstGeom prst="rect">
                        <a:avLst/>
                      </a:prstGeom>
                      <a:noFill/>
                      <a:ln w="6350">
                        <a:noFill/>
                      </a:ln>
                    </wps:spPr>
                    <wps:txbx>
                      <w:txbxContent>
                        <w:p w14:paraId="72AFBE76" w14:textId="77777777" w:rsidR="003F68FE" w:rsidRDefault="003F68FE" w:rsidP="003F68FE">
                          <w:pPr>
                            <w:pStyle w:val="BSVASectionDividerHeading"/>
                            <w:spacing w:before="0" w:after="5400"/>
                          </w:pPr>
                          <w:r w:rsidRPr="00C54046">
                            <w:t>Thank you</w:t>
                          </w:r>
                        </w:p>
                        <w:p w14:paraId="5B2AAF4C" w14:textId="77777777" w:rsidR="003F68FE" w:rsidRDefault="003F68FE" w:rsidP="003F68FE">
                          <w:pPr>
                            <w:pStyle w:val="Heading3"/>
                            <w:spacing w:after="0"/>
                          </w:pPr>
                          <w:r w:rsidRPr="00F71BFE">
                            <w:t>Contact</w:t>
                          </w:r>
                        </w:p>
                        <w:p w14:paraId="0F93EF2C" w14:textId="77777777" w:rsidR="003F68FE" w:rsidRPr="003F68FE" w:rsidRDefault="003F68FE" w:rsidP="003F68FE">
                          <w:pPr>
                            <w:rPr>
                              <w:color w:val="003FFF" w:themeColor="accent3"/>
                              <w:sz w:val="36"/>
                              <w:szCs w:val="36"/>
                              <w:lang w:val="en-US"/>
                            </w:rPr>
                          </w:pPr>
                          <w:r w:rsidRPr="003F68FE">
                            <w:rPr>
                              <w:color w:val="003FFF" w:themeColor="accent3"/>
                              <w:sz w:val="36"/>
                              <w:szCs w:val="36"/>
                              <w:lang w:val="en-US"/>
                            </w:rPr>
                            <w:t>–</w:t>
                          </w:r>
                        </w:p>
                        <w:p w14:paraId="394B286D" w14:textId="77777777" w:rsidR="003F68FE" w:rsidRPr="00F61EC7" w:rsidRDefault="003F68FE" w:rsidP="003F68FE">
                          <w:pPr>
                            <w:spacing w:after="40"/>
                            <w:rPr>
                              <w:rFonts w:ascii="Noto Sans SemBd" w:hAnsi="Noto Sans SemBd" w:cs="Noto Sans SemBd"/>
                              <w:b/>
                              <w:bCs/>
                              <w:lang w:val="en-US"/>
                            </w:rPr>
                          </w:pPr>
                          <w:r w:rsidRPr="00F61EC7">
                            <w:rPr>
                              <w:rFonts w:ascii="Noto Sans SemBd" w:hAnsi="Noto Sans SemBd" w:cs="Noto Sans SemBd"/>
                              <w:b/>
                              <w:bCs/>
                              <w:lang w:val="en-US"/>
                            </w:rPr>
                            <w:t>BSV Association</w:t>
                          </w:r>
                          <w:r w:rsidRPr="00F61EC7">
                            <w:rPr>
                              <w:lang w:val="en-US"/>
                            </w:rPr>
                            <w:br/>
                          </w:r>
                          <w:proofErr w:type="spellStart"/>
                          <w:r w:rsidR="00FB2FBA" w:rsidRPr="00F61EC7">
                            <w:rPr>
                              <w:lang w:val="en-US"/>
                            </w:rPr>
                            <w:t>Alpenstrasse</w:t>
                          </w:r>
                          <w:proofErr w:type="spellEnd"/>
                          <w:r w:rsidR="00FB2FBA" w:rsidRPr="00F61EC7">
                            <w:rPr>
                              <w:lang w:val="en-US"/>
                            </w:rPr>
                            <w:t xml:space="preserve"> 15</w:t>
                          </w:r>
                          <w:r w:rsidRPr="00F61EC7">
                            <w:rPr>
                              <w:lang w:val="en-US"/>
                            </w:rPr>
                            <w:t xml:space="preserve"> </w:t>
                          </w:r>
                          <w:r w:rsidRPr="00F61EC7">
                            <w:rPr>
                              <w:lang w:val="en-US"/>
                            </w:rPr>
                            <w:br/>
                          </w:r>
                          <w:r w:rsidR="00316E4D" w:rsidRPr="00F61EC7">
                            <w:rPr>
                              <w:lang w:val="en-US"/>
                            </w:rPr>
                            <w:t>6300 Zug</w:t>
                          </w:r>
                          <w:r w:rsidRPr="00F61EC7">
                            <w:rPr>
                              <w:lang w:val="en-US"/>
                            </w:rPr>
                            <w:br/>
                          </w:r>
                          <w:r w:rsidR="00316E4D" w:rsidRPr="00F61EC7">
                            <w:rPr>
                              <w:lang w:val="en-US"/>
                            </w:rPr>
                            <w:t>Switzerland</w:t>
                          </w:r>
                          <w:r w:rsidRPr="00F61EC7">
                            <w:rPr>
                              <w:lang w:val="en-US"/>
                            </w:rPr>
                            <w:br/>
                          </w:r>
                          <w:r w:rsidRPr="00F61EC7">
                            <w:rPr>
                              <w:lang w:val="en-US"/>
                            </w:rPr>
                            <w:br/>
                          </w:r>
                          <w:hyperlink r:id="rId2" w:history="1">
                            <w:r w:rsidRPr="00F61EC7">
                              <w:rPr>
                                <w:rStyle w:val="Hyperlink"/>
                                <w:color w:val="2C2C30" w:themeColor="text2"/>
                                <w:u w:val="none"/>
                                <w:lang w:val="en-US"/>
                              </w:rPr>
                              <w:t>contact@bsvassociation.org</w:t>
                            </w:r>
                          </w:hyperlink>
                        </w:p>
                        <w:p w14:paraId="135AB557" w14:textId="77777777" w:rsidR="003F68FE" w:rsidRPr="00316E4D" w:rsidRDefault="003F68FE" w:rsidP="003F68FE">
                          <w:hyperlink r:id="rId3" w:history="1">
                            <w:r w:rsidRPr="00316E4D">
                              <w:rPr>
                                <w:rStyle w:val="Hyperlink"/>
                                <w:color w:val="2C2C30" w:themeColor="text2"/>
                                <w:u w:val="none"/>
                              </w:rPr>
                              <w:t>association.bsvblockchain.org</w:t>
                            </w:r>
                          </w:hyperlink>
                        </w:p>
                        <w:p w14:paraId="19EB98FC" w14:textId="77777777" w:rsidR="003F68FE" w:rsidRPr="00316E4D" w:rsidRDefault="003F68FE" w:rsidP="003F68FE"/>
                      </w:txbxContent>
                    </wps:txbx>
                    <wps:bodyPr rot="0" spcFirstLastPara="0" vertOverflow="overflow" horzOverflow="overflow" vert="horz" wrap="square" lIns="0" tIns="0" rIns="0" bIns="0" numCol="1" spcCol="0" rtlCol="0" fromWordArt="0" anchor="t" anchorCtr="0" forceAA="0" upright="1" compatLnSpc="1">
                      <a:prstTxWarp prst="textNoShape">
                        <a:avLst/>
                      </a:prstTxWarp>
                      <a:noAutofit/>
                    </wps:bodyPr>
                  </wps:wsp>
                </a:graphicData>
              </a:graphic>
              <wp14:sizeRelV relativeFrom="margin">
                <wp14:pctHeight>0</wp14:pctHeight>
              </wp14:sizeRelV>
            </wp:anchor>
          </w:drawing>
        </mc:Choice>
        <mc:Fallback>
          <w:pict>
            <v:shapetype w14:anchorId="65D3E1D6" id="_x0000_t202" coordsize="21600,21600" o:spt="202" path="m,l,21600r21600,l21600,xe">
              <v:stroke joinstyle="miter"/>
              <v:path gradientshapeok="t" o:connecttype="rect"/>
            </v:shapetype>
            <v:shape id="Text Box 16" o:spid="_x0000_s1026" type="#_x0000_t202" style="position:absolute;margin-left:3.95pt;margin-top:290.2pt;width:303.5pt;height:468.5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" filled="f" stroked="f" strokeweight=".5pt">
              <v:textbox inset="0,0,0,0">
                <w:txbxContent>
                  <w:p w14:paraId="72AFBE76" w14:textId="77777777" w:rsidR="003F68FE" w:rsidRDefault="003F68FE" w:rsidP="003F68FE">
                    <w:pPr>
                      <w:pStyle w:val="BSVASectionDividerHeading"/>
                      <w:spacing w:before="0" w:after="5400"/>
                    </w:pPr>
                    <w:r w:rsidRPr="00C54046">
                      <w:t>Thank you</w:t>
                    </w:r>
                  </w:p>
                  <w:p w14:paraId="5B2AAF4C" w14:textId="77777777" w:rsidR="003F68FE" w:rsidRDefault="003F68FE" w:rsidP="003F68FE">
                    <w:pPr>
                      <w:pStyle w:val="Heading3"/>
                      <w:spacing w:after="0"/>
                    </w:pPr>
                    <w:r w:rsidRPr="00F71BFE">
                      <w:t>Contact</w:t>
                    </w:r>
                  </w:p>
                  <w:p w14:paraId="0F93EF2C" w14:textId="77777777" w:rsidR="003F68FE" w:rsidRPr="003F68FE" w:rsidRDefault="003F68FE" w:rsidP="003F68FE">
                    <w:pPr>
                      <w:rPr>
                        <w:color w:val="003FFF" w:themeColor="accent3"/>
                        <w:sz w:val="36"/>
                        <w:szCs w:val="36"/>
                        <w:lang w:val="en-US"/>
                      </w:rPr>
                    </w:pPr>
                    <w:r w:rsidRPr="003F68FE">
                      <w:rPr>
                        <w:color w:val="003FFF" w:themeColor="accent3"/>
                        <w:sz w:val="36"/>
                        <w:szCs w:val="36"/>
                        <w:lang w:val="en-US"/>
                      </w:rPr>
                      <w:t>–</w:t>
                    </w:r>
                  </w:p>
                  <w:p w14:paraId="394B286D" w14:textId="77777777" w:rsidR="003F68FE" w:rsidRPr="00F61EC7" w:rsidRDefault="003F68FE" w:rsidP="003F68FE">
                    <w:pPr>
                      <w:spacing w:after="40"/>
                      <w:rPr>
                        <w:rFonts w:ascii="Noto Sans SemBd" w:hAnsi="Noto Sans SemBd" w:cs="Noto Sans SemBd"/>
                        <w:b/>
                        <w:bCs/>
                        <w:lang w:val="en-US"/>
                      </w:rPr>
                    </w:pPr>
                    <w:r w:rsidRPr="00F61EC7">
                      <w:rPr>
                        <w:rFonts w:ascii="Noto Sans SemBd" w:hAnsi="Noto Sans SemBd" w:cs="Noto Sans SemBd"/>
                        <w:b/>
                        <w:bCs/>
                        <w:lang w:val="en-US"/>
                      </w:rPr>
                      <w:t>BSV Association</w:t>
                    </w:r>
                    <w:r w:rsidRPr="00F61EC7">
                      <w:rPr>
                        <w:lang w:val="en-US"/>
                      </w:rPr>
                      <w:br/>
                    </w:r>
                    <w:proofErr w:type="spellStart"/>
                    <w:r w:rsidR="00FB2FBA" w:rsidRPr="00F61EC7">
                      <w:rPr>
                        <w:lang w:val="en-US"/>
                      </w:rPr>
                      <w:t>Alpenstrasse</w:t>
                    </w:r>
                    <w:proofErr w:type="spellEnd"/>
                    <w:r w:rsidR="00FB2FBA" w:rsidRPr="00F61EC7">
                      <w:rPr>
                        <w:lang w:val="en-US"/>
                      </w:rPr>
                      <w:t xml:space="preserve"> 15</w:t>
                    </w:r>
                    <w:r w:rsidRPr="00F61EC7">
                      <w:rPr>
                        <w:lang w:val="en-US"/>
                      </w:rPr>
                      <w:t xml:space="preserve"> </w:t>
                    </w:r>
                    <w:r w:rsidRPr="00F61EC7">
                      <w:rPr>
                        <w:lang w:val="en-US"/>
                      </w:rPr>
                      <w:br/>
                    </w:r>
                    <w:r w:rsidR="00316E4D" w:rsidRPr="00F61EC7">
                      <w:rPr>
                        <w:lang w:val="en-US"/>
                      </w:rPr>
                      <w:t>6300 Zug</w:t>
                    </w:r>
                    <w:r w:rsidRPr="00F61EC7">
                      <w:rPr>
                        <w:lang w:val="en-US"/>
                      </w:rPr>
                      <w:br/>
                    </w:r>
                    <w:r w:rsidR="00316E4D" w:rsidRPr="00F61EC7">
                      <w:rPr>
                        <w:lang w:val="en-US"/>
                      </w:rPr>
                      <w:t>Switzerland</w:t>
                    </w:r>
                    <w:r w:rsidRPr="00F61EC7">
                      <w:rPr>
                        <w:lang w:val="en-US"/>
                      </w:rPr>
                      <w:br/>
                    </w:r>
                    <w:r w:rsidRPr="00F61EC7">
                      <w:rPr>
                        <w:lang w:val="en-US"/>
                      </w:rPr>
                      <w:br/>
                    </w:r>
                    <w:hyperlink r:id="rId4" w:history="1">
                      <w:r w:rsidRPr="00F61EC7">
                        <w:rPr>
                          <w:rStyle w:val="Hyperlink"/>
                          <w:color w:val="2C2C30" w:themeColor="text2"/>
                          <w:u w:val="none"/>
                          <w:lang w:val="en-US"/>
                        </w:rPr>
                        <w:t>contact@bsvassociation.org</w:t>
                      </w:r>
                    </w:hyperlink>
                  </w:p>
                  <w:p w14:paraId="135AB557" w14:textId="77777777" w:rsidR="003F68FE" w:rsidRPr="00316E4D" w:rsidRDefault="003F68FE" w:rsidP="003F68FE">
                    <w:hyperlink r:id="rId5" w:history="1">
                      <w:r w:rsidRPr="00316E4D">
                        <w:rPr>
                          <w:rStyle w:val="Hyperlink"/>
                          <w:color w:val="2C2C30" w:themeColor="text2"/>
                          <w:u w:val="none"/>
                        </w:rPr>
                        <w:t>association.bsvblockchain.org</w:t>
                      </w:r>
                    </w:hyperlink>
                  </w:p>
                  <w:p w14:paraId="19EB98FC" w14:textId="77777777" w:rsidR="003F68FE" w:rsidRPr="00316E4D" w:rsidRDefault="003F68FE" w:rsidP="003F68FE"/>
                </w:txbxContent>
              </v:textbox>
            </v:shape>
          </w:pict>
        </mc:Fallback>
      </mc:AlternateContent>
    </w:r>
    <w:r w:rsidR="003F68FE">
      <w:t xml:space="preserve"> </w:t>
    </w:r>
    <w:r w:rsidR="000423EC">
      <w:rPr>
        <w:lang w:val="en-US"/>
      </w:rPr>
      <mc:AlternateContent>
        <mc:Choice Requires="wps">
          <w:drawing>
            <wp:anchor distT="0" distB="0" distL="114300" distR="114300" simplePos="0" relativeHeight="251657215" behindDoc="1" locked="0" layoutInCell="1" allowOverlap="1" wp14:anchorId="69DFAA7A" wp14:editId="449BEFD9">
              <wp:simplePos x="0" y="0"/>
              <wp:positionH relativeFrom="column">
                <wp:posOffset>-690538</wp:posOffset>
              </wp:positionH>
              <wp:positionV relativeFrom="paragraph">
                <wp:posOffset>-450215</wp:posOffset>
              </wp:positionV>
              <wp:extent cx="7592695" cy="10747326"/>
              <wp:effectExtent l="0" t="0" r="1905" b="0"/>
              <wp:wrapNone/>
              <wp:docPr id="158861830" name="Rectangle 15"/>
              <wp:cNvGraphicFramePr/>
              <a:graphic xmlns:a="http://schemas.openxmlformats.org/drawingml/2006/main">
                <a:graphicData uri="http://schemas.microsoft.com/office/word/2010/wordprocessingShape">
                  <wps:wsp>
                    <wps:cNvSpPr/>
                    <wps:spPr>
                      <a:xfrm>
                        <a:off x="0" y="0"/>
                        <a:ext cx="7592695" cy="10747326"/>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9EB4E" id="Rectangle 15" o:spid="_x0000_s1026" style="position:absolute;margin-left:-54.35pt;margin-top:-35.45pt;width:597.85pt;height:846.25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" fillcolor="#dae3ff [3204]" stroked="f" strokeweight="1.5pt"/>
          </w:pict>
        </mc:Fallback>
      </mc:AlternateContent>
    </w:r>
    <w:r w:rsidR="00460383">
      <w:drawing>
        <wp:anchor distT="0" distB="0" distL="114300" distR="114300" simplePos="0" relativeHeight="251667456" behindDoc="1" locked="0" layoutInCell="1" allowOverlap="1" wp14:anchorId="2D4D3665" wp14:editId="062C7D03">
          <wp:simplePos x="0" y="0"/>
          <wp:positionH relativeFrom="column">
            <wp:posOffset>0</wp:posOffset>
          </wp:positionH>
          <wp:positionV relativeFrom="paragraph">
            <wp:posOffset>-635</wp:posOffset>
          </wp:positionV>
          <wp:extent cx="1796415" cy="1378585"/>
          <wp:effectExtent l="0" t="0" r="0" b="5715"/>
          <wp:wrapNone/>
          <wp:docPr id="613883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28319" name="Picture 1700228319"/>
                  <pic:cNvPicPr/>
                </pic:nvPicPr>
                <pic:blipFill>
                  <a:blip r:embed="rId6"/>
                  <a:stretch>
                    <a:fillRect/>
                  </a:stretch>
                </pic:blipFill>
                <pic:spPr>
                  <a:xfrm>
                    <a:off x="0" y="0"/>
                    <a:ext cx="1796415" cy="137858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806E9762"/>
    <w:lvl w:ilvl="0">
      <w:start w:val="1"/>
      <w:numFmt w:val="bullet"/>
      <w:pStyle w:val="ListBullet3"/>
      <w:lvlText w:val=""/>
      <w:lvlJc w:val="left"/>
      <w:pPr>
        <w:ind w:left="926" w:hanging="360"/>
      </w:pPr>
      <w:rPr>
        <w:rFonts w:ascii="Symbol" w:hAnsi="Symbol" w:hint="default"/>
        <w:color w:val="003FFF" w:themeColor="accent3"/>
      </w:rPr>
    </w:lvl>
  </w:abstractNum>
  <w:abstractNum w:abstractNumId="1" w15:restartNumberingAfterBreak="0">
    <w:nsid w:val="FFFFFF83"/>
    <w:multiLevelType w:val="singleLevel"/>
    <w:tmpl w:val="CAA84276"/>
    <w:lvl w:ilvl="0">
      <w:start w:val="1"/>
      <w:numFmt w:val="bullet"/>
      <w:pStyle w:val="ListBullet2"/>
      <w:lvlText w:val=""/>
      <w:lvlJc w:val="left"/>
      <w:pPr>
        <w:tabs>
          <w:tab w:val="num" w:pos="643"/>
        </w:tabs>
        <w:ind w:left="643" w:hanging="360"/>
      </w:pPr>
      <w:rPr>
        <w:rFonts w:ascii="Symbol" w:hAnsi="Symbol" w:hint="default"/>
        <w:color w:val="003FFF" w:themeColor="accent3"/>
      </w:rPr>
    </w:lvl>
  </w:abstractNum>
  <w:abstractNum w:abstractNumId="2" w15:restartNumberingAfterBreak="0">
    <w:nsid w:val="FFFFFF89"/>
    <w:multiLevelType w:val="singleLevel"/>
    <w:tmpl w:val="721620E2"/>
    <w:lvl w:ilvl="0">
      <w:start w:val="1"/>
      <w:numFmt w:val="bullet"/>
      <w:pStyle w:val="BSVABoxedListBullet1"/>
      <w:lvlText w:val=""/>
      <w:lvlJc w:val="left"/>
      <w:pPr>
        <w:tabs>
          <w:tab w:val="num" w:pos="360"/>
        </w:tabs>
        <w:ind w:left="360" w:hanging="360"/>
      </w:pPr>
      <w:rPr>
        <w:rFonts w:ascii="Symbol" w:hAnsi="Symbol" w:hint="default"/>
        <w:color w:val="003FFF" w:themeColor="accent3"/>
      </w:rPr>
    </w:lvl>
  </w:abstractNum>
  <w:abstractNum w:abstractNumId="3" w15:restartNumberingAfterBreak="0">
    <w:nsid w:val="0D5763D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553EAF"/>
    <w:multiLevelType w:val="multilevel"/>
    <w:tmpl w:val="1D6C3FCA"/>
    <w:styleLink w:val="CurrentList1"/>
    <w:lvl w:ilvl="0">
      <w:start w:val="1"/>
      <w:numFmt w:val="bullet"/>
      <w:lvlText w:val=""/>
      <w:lvlJc w:val="left"/>
      <w:pPr>
        <w:tabs>
          <w:tab w:val="num" w:pos="360"/>
        </w:tabs>
        <w:ind w:left="360" w:hanging="360"/>
      </w:pPr>
      <w:rPr>
        <w:rFonts w:ascii="Symbol" w:hAnsi="Symbol" w:hint="default"/>
        <w:color w:val="003FFF" w:themeColor="accent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8A80E47"/>
    <w:multiLevelType w:val="hybridMultilevel"/>
    <w:tmpl w:val="041878DA"/>
    <w:lvl w:ilvl="0" w:tplc="B50AC626">
      <w:start w:val="1"/>
      <w:numFmt w:val="lowerLetter"/>
      <w:pStyle w:val="BSVAABCList"/>
      <w:lvlText w:val="%1)"/>
      <w:lvlJc w:val="left"/>
      <w:pPr>
        <w:ind w:left="720" w:hanging="360"/>
      </w:pPr>
      <w:rPr>
        <w:rFonts w:ascii="Noto Sans" w:hAnsi="Noto Sans" w:cs="Noto Sans" w:hint="default"/>
        <w:b/>
        <w:bCs/>
        <w:i w:val="0"/>
        <w:iCs w:val="0"/>
        <w:color w:val="2C2C30"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731285"/>
    <w:multiLevelType w:val="multilevel"/>
    <w:tmpl w:val="E76A5B6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BDF3C63"/>
    <w:multiLevelType w:val="hybridMultilevel"/>
    <w:tmpl w:val="43AEDA16"/>
    <w:lvl w:ilvl="0" w:tplc="3720440E">
      <w:start w:val="1"/>
      <w:numFmt w:val="bullet"/>
      <w:pStyle w:val="ListBullet"/>
      <w:lvlText w:val=""/>
      <w:lvlJc w:val="left"/>
      <w:pPr>
        <w:tabs>
          <w:tab w:val="num" w:pos="360"/>
        </w:tabs>
        <w:ind w:left="360" w:hanging="360"/>
      </w:pPr>
      <w:rPr>
        <w:rFonts w:ascii="Symbol" w:hAnsi="Symbol" w:hint="default"/>
        <w:color w:val="003FFF" w:themeColor="accent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3AB4B85"/>
    <w:multiLevelType w:val="multilevel"/>
    <w:tmpl w:val="DDE06ECE"/>
    <w:lvl w:ilvl="0">
      <w:start w:val="1"/>
      <w:numFmt w:val="decimal"/>
      <w:pStyle w:val="BSVANumberedlistheadinglevel1"/>
      <w:lvlText w:val="%1."/>
      <w:lvlJc w:val="left"/>
      <w:pPr>
        <w:ind w:left="450" w:hanging="360"/>
      </w:pPr>
      <w:rPr>
        <w:rFonts w:ascii="Chillax Semibold" w:eastAsiaTheme="minorEastAsia" w:hAnsi="Chillax Semibold" w:cstheme="minorBidi" w:hint="default"/>
        <w:b w:val="0"/>
        <w:bCs w:val="0"/>
        <w:i w:val="0"/>
        <w:iCs w:val="0"/>
      </w:rPr>
    </w:lvl>
    <w:lvl w:ilvl="1">
      <w:start w:val="1"/>
      <w:numFmt w:val="decimal"/>
      <w:pStyle w:val="BSVANumberedlistheadinglevel2"/>
      <w:lvlText w:val="%1.%2."/>
      <w:lvlJc w:val="left"/>
      <w:pPr>
        <w:ind w:left="882" w:hanging="432"/>
      </w:pPr>
      <w:rPr>
        <w:rFonts w:hint="default"/>
        <w:color w:val="929292"/>
      </w:rPr>
    </w:lvl>
    <w:lvl w:ilvl="2">
      <w:start w:val="1"/>
      <w:numFmt w:val="decimal"/>
      <w:pStyle w:val="BSVANumberedlistheadinglevel3"/>
      <w:lvlText w:val="%1.%2.%3."/>
      <w:lvlJc w:val="left"/>
      <w:pPr>
        <w:ind w:left="1314" w:hanging="504"/>
      </w:pPr>
      <w:rPr>
        <w:rFonts w:hint="default"/>
        <w:color w:val="929292"/>
      </w:rPr>
    </w:lvl>
    <w:lvl w:ilvl="3">
      <w:start w:val="1"/>
      <w:numFmt w:val="decimal"/>
      <w:pStyle w:val="BSVANumberedlistheadinglevel4"/>
      <w:lvlText w:val="%1.%2.%3.%4."/>
      <w:lvlJc w:val="left"/>
      <w:pPr>
        <w:ind w:left="1818" w:hanging="648"/>
      </w:pPr>
      <w:rPr>
        <w:rFonts w:hint="default"/>
        <w:color w:val="929292"/>
      </w:rPr>
    </w:lvl>
    <w:lvl w:ilvl="4">
      <w:start w:val="1"/>
      <w:numFmt w:val="decimal"/>
      <w:pStyle w:val="Numberedlistheadinglevel4"/>
      <w:lvlText w:val="%1.%2.%3.%4.%5."/>
      <w:lvlJc w:val="left"/>
      <w:pPr>
        <w:ind w:left="2322" w:hanging="792"/>
      </w:pPr>
      <w:rPr>
        <w:rFonts w:hint="default"/>
      </w:rPr>
    </w:lvl>
    <w:lvl w:ilvl="5">
      <w:start w:val="1"/>
      <w:numFmt w:val="decimal"/>
      <w:pStyle w:val="Numberedlistheadinglevel5"/>
      <w:lvlText w:val="%1.%2.%3.%4.%5.%6."/>
      <w:lvlJc w:val="left"/>
      <w:pPr>
        <w:ind w:left="2826" w:hanging="936"/>
      </w:pPr>
      <w:rPr>
        <w:rFonts w:hint="default"/>
      </w:rPr>
    </w:lvl>
    <w:lvl w:ilvl="6">
      <w:start w:val="1"/>
      <w:numFmt w:val="decimal"/>
      <w:pStyle w:val="Numberedlistheadinglevel6"/>
      <w:lvlText w:val="%1.%2.%3.%4.%5.%6.%7."/>
      <w:lvlJc w:val="left"/>
      <w:pPr>
        <w:ind w:left="3330" w:hanging="1080"/>
      </w:pPr>
      <w:rPr>
        <w:rFonts w:hint="default"/>
      </w:rPr>
    </w:lvl>
    <w:lvl w:ilvl="7">
      <w:start w:val="1"/>
      <w:numFmt w:val="decimal"/>
      <w:lvlText w:val="%1.%2.%3.%4.%5.%6.%7.%8."/>
      <w:lvlJc w:val="left"/>
      <w:pPr>
        <w:ind w:left="3834" w:hanging="1224"/>
      </w:pPr>
      <w:rPr>
        <w:rFonts w:hint="default"/>
      </w:rPr>
    </w:lvl>
    <w:lvl w:ilvl="8">
      <w:start w:val="1"/>
      <w:numFmt w:val="decimal"/>
      <w:lvlText w:val="%1.%2.%3.%4.%5.%6.%7.%8.%9."/>
      <w:lvlJc w:val="left"/>
      <w:pPr>
        <w:ind w:left="4410" w:hanging="1440"/>
      </w:pPr>
      <w:rPr>
        <w:rFonts w:hint="default"/>
      </w:rPr>
    </w:lvl>
  </w:abstractNum>
  <w:abstractNum w:abstractNumId="9" w15:restartNumberingAfterBreak="0">
    <w:nsid w:val="621E728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10485240">
    <w:abstractNumId w:val="2"/>
  </w:num>
  <w:num w:numId="2" w16cid:durableId="857503324">
    <w:abstractNumId w:val="7"/>
  </w:num>
  <w:num w:numId="3" w16cid:durableId="1438253770">
    <w:abstractNumId w:val="4"/>
  </w:num>
  <w:num w:numId="4" w16cid:durableId="197089283">
    <w:abstractNumId w:val="1"/>
  </w:num>
  <w:num w:numId="5" w16cid:durableId="132559">
    <w:abstractNumId w:val="1"/>
    <w:lvlOverride w:ilvl="0">
      <w:startOverride w:val="1"/>
    </w:lvlOverride>
  </w:num>
  <w:num w:numId="6" w16cid:durableId="1045759637">
    <w:abstractNumId w:val="0"/>
  </w:num>
  <w:num w:numId="7" w16cid:durableId="1257179689">
    <w:abstractNumId w:val="9"/>
  </w:num>
  <w:num w:numId="8" w16cid:durableId="2097707064">
    <w:abstractNumId w:val="6"/>
  </w:num>
  <w:num w:numId="9" w16cid:durableId="2133934454">
    <w:abstractNumId w:val="3"/>
  </w:num>
  <w:num w:numId="10" w16cid:durableId="537472639">
    <w:abstractNumId w:val="8"/>
  </w:num>
  <w:num w:numId="11" w16cid:durableId="19880448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5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EC7"/>
    <w:rsid w:val="000021F0"/>
    <w:rsid w:val="00002EB4"/>
    <w:rsid w:val="000144B1"/>
    <w:rsid w:val="0001504F"/>
    <w:rsid w:val="00027895"/>
    <w:rsid w:val="00031DB1"/>
    <w:rsid w:val="000423EC"/>
    <w:rsid w:val="00045D47"/>
    <w:rsid w:val="0005014F"/>
    <w:rsid w:val="00062815"/>
    <w:rsid w:val="00064B38"/>
    <w:rsid w:val="0006727B"/>
    <w:rsid w:val="000A1E13"/>
    <w:rsid w:val="000B2A6A"/>
    <w:rsid w:val="000B35B8"/>
    <w:rsid w:val="000B5360"/>
    <w:rsid w:val="000C0128"/>
    <w:rsid w:val="000C1ED5"/>
    <w:rsid w:val="000E4F75"/>
    <w:rsid w:val="000E59D9"/>
    <w:rsid w:val="000E73CD"/>
    <w:rsid w:val="00106FA9"/>
    <w:rsid w:val="001118E5"/>
    <w:rsid w:val="001144AA"/>
    <w:rsid w:val="0011520A"/>
    <w:rsid w:val="00134369"/>
    <w:rsid w:val="001350DF"/>
    <w:rsid w:val="001404B8"/>
    <w:rsid w:val="001423DA"/>
    <w:rsid w:val="00142570"/>
    <w:rsid w:val="001467A6"/>
    <w:rsid w:val="00157446"/>
    <w:rsid w:val="0017194B"/>
    <w:rsid w:val="001811A2"/>
    <w:rsid w:val="00195677"/>
    <w:rsid w:val="00195754"/>
    <w:rsid w:val="00197310"/>
    <w:rsid w:val="001C61ED"/>
    <w:rsid w:val="001D1E49"/>
    <w:rsid w:val="001D38FA"/>
    <w:rsid w:val="001D55F7"/>
    <w:rsid w:val="001D6BB8"/>
    <w:rsid w:val="001E1492"/>
    <w:rsid w:val="001F288B"/>
    <w:rsid w:val="001F603F"/>
    <w:rsid w:val="001F75FA"/>
    <w:rsid w:val="0020652D"/>
    <w:rsid w:val="0020786C"/>
    <w:rsid w:val="002214A2"/>
    <w:rsid w:val="0022191A"/>
    <w:rsid w:val="00222788"/>
    <w:rsid w:val="0022433C"/>
    <w:rsid w:val="00224883"/>
    <w:rsid w:val="00224AC3"/>
    <w:rsid w:val="002308B0"/>
    <w:rsid w:val="002355C2"/>
    <w:rsid w:val="002523D9"/>
    <w:rsid w:val="002614DE"/>
    <w:rsid w:val="00266778"/>
    <w:rsid w:val="002756C8"/>
    <w:rsid w:val="00282DC9"/>
    <w:rsid w:val="00293598"/>
    <w:rsid w:val="002957F7"/>
    <w:rsid w:val="002968C4"/>
    <w:rsid w:val="002A57DE"/>
    <w:rsid w:val="002A58C2"/>
    <w:rsid w:val="002B2A22"/>
    <w:rsid w:val="002C055D"/>
    <w:rsid w:val="002D734C"/>
    <w:rsid w:val="002F0634"/>
    <w:rsid w:val="002F6B10"/>
    <w:rsid w:val="003056B0"/>
    <w:rsid w:val="00311FE8"/>
    <w:rsid w:val="00313E72"/>
    <w:rsid w:val="00314134"/>
    <w:rsid w:val="00316E4D"/>
    <w:rsid w:val="003243E2"/>
    <w:rsid w:val="00362616"/>
    <w:rsid w:val="00374920"/>
    <w:rsid w:val="00375D67"/>
    <w:rsid w:val="00394BA5"/>
    <w:rsid w:val="0039785E"/>
    <w:rsid w:val="003A05B2"/>
    <w:rsid w:val="003D4DA1"/>
    <w:rsid w:val="003E1A5E"/>
    <w:rsid w:val="003E306E"/>
    <w:rsid w:val="003E776A"/>
    <w:rsid w:val="003F68FE"/>
    <w:rsid w:val="00407FBD"/>
    <w:rsid w:val="00425056"/>
    <w:rsid w:val="00443C6D"/>
    <w:rsid w:val="00455BD6"/>
    <w:rsid w:val="00460383"/>
    <w:rsid w:val="004621A6"/>
    <w:rsid w:val="00465818"/>
    <w:rsid w:val="004669C2"/>
    <w:rsid w:val="00480E2F"/>
    <w:rsid w:val="00483060"/>
    <w:rsid w:val="0049185B"/>
    <w:rsid w:val="00496FF3"/>
    <w:rsid w:val="004A01E1"/>
    <w:rsid w:val="004B7AFA"/>
    <w:rsid w:val="004D3A67"/>
    <w:rsid w:val="004F2FF1"/>
    <w:rsid w:val="004F5787"/>
    <w:rsid w:val="00502844"/>
    <w:rsid w:val="00505B70"/>
    <w:rsid w:val="00521406"/>
    <w:rsid w:val="00525084"/>
    <w:rsid w:val="00534843"/>
    <w:rsid w:val="0053620E"/>
    <w:rsid w:val="00540375"/>
    <w:rsid w:val="005419EB"/>
    <w:rsid w:val="00542EC2"/>
    <w:rsid w:val="00547E1F"/>
    <w:rsid w:val="00547E3A"/>
    <w:rsid w:val="005529DB"/>
    <w:rsid w:val="005552AB"/>
    <w:rsid w:val="00557F1A"/>
    <w:rsid w:val="00560C75"/>
    <w:rsid w:val="00572F54"/>
    <w:rsid w:val="0058353D"/>
    <w:rsid w:val="005A2C80"/>
    <w:rsid w:val="005A5C06"/>
    <w:rsid w:val="005B0D7A"/>
    <w:rsid w:val="005C57D4"/>
    <w:rsid w:val="005C5E41"/>
    <w:rsid w:val="005D58C6"/>
    <w:rsid w:val="005D6DE0"/>
    <w:rsid w:val="005D72CE"/>
    <w:rsid w:val="005D75BA"/>
    <w:rsid w:val="005E517F"/>
    <w:rsid w:val="005E5458"/>
    <w:rsid w:val="005F3275"/>
    <w:rsid w:val="00602B8C"/>
    <w:rsid w:val="00603D02"/>
    <w:rsid w:val="00610659"/>
    <w:rsid w:val="0061559C"/>
    <w:rsid w:val="006379EF"/>
    <w:rsid w:val="006416B8"/>
    <w:rsid w:val="00642B21"/>
    <w:rsid w:val="006546EF"/>
    <w:rsid w:val="0069031F"/>
    <w:rsid w:val="006913AA"/>
    <w:rsid w:val="006A047C"/>
    <w:rsid w:val="006A2540"/>
    <w:rsid w:val="006B3377"/>
    <w:rsid w:val="006C3157"/>
    <w:rsid w:val="006C35B3"/>
    <w:rsid w:val="006D45A8"/>
    <w:rsid w:val="006D4C86"/>
    <w:rsid w:val="006E6B34"/>
    <w:rsid w:val="006F05C3"/>
    <w:rsid w:val="007006FF"/>
    <w:rsid w:val="0073322D"/>
    <w:rsid w:val="00743E87"/>
    <w:rsid w:val="00751EA8"/>
    <w:rsid w:val="00761886"/>
    <w:rsid w:val="00766929"/>
    <w:rsid w:val="00774DAC"/>
    <w:rsid w:val="007910B8"/>
    <w:rsid w:val="007A5C52"/>
    <w:rsid w:val="007B1C6E"/>
    <w:rsid w:val="007C4335"/>
    <w:rsid w:val="007F632B"/>
    <w:rsid w:val="00803DAE"/>
    <w:rsid w:val="008050A8"/>
    <w:rsid w:val="00811721"/>
    <w:rsid w:val="008138D4"/>
    <w:rsid w:val="00820F68"/>
    <w:rsid w:val="00853C45"/>
    <w:rsid w:val="00862647"/>
    <w:rsid w:val="00862F4F"/>
    <w:rsid w:val="0087570B"/>
    <w:rsid w:val="008812E2"/>
    <w:rsid w:val="008A0190"/>
    <w:rsid w:val="008A3930"/>
    <w:rsid w:val="008B1D72"/>
    <w:rsid w:val="008B5B99"/>
    <w:rsid w:val="008C0552"/>
    <w:rsid w:val="008C2505"/>
    <w:rsid w:val="008C399B"/>
    <w:rsid w:val="008D53DC"/>
    <w:rsid w:val="008F11FE"/>
    <w:rsid w:val="00906F62"/>
    <w:rsid w:val="009221E8"/>
    <w:rsid w:val="00934C8B"/>
    <w:rsid w:val="00936557"/>
    <w:rsid w:val="00941C6C"/>
    <w:rsid w:val="00951107"/>
    <w:rsid w:val="00960B76"/>
    <w:rsid w:val="00965730"/>
    <w:rsid w:val="00993EB6"/>
    <w:rsid w:val="009C3274"/>
    <w:rsid w:val="009D68B2"/>
    <w:rsid w:val="009D7F24"/>
    <w:rsid w:val="009F0EED"/>
    <w:rsid w:val="00A0203F"/>
    <w:rsid w:val="00A12220"/>
    <w:rsid w:val="00A1272D"/>
    <w:rsid w:val="00A12D02"/>
    <w:rsid w:val="00A238C9"/>
    <w:rsid w:val="00A27BA5"/>
    <w:rsid w:val="00A33FC4"/>
    <w:rsid w:val="00A52F19"/>
    <w:rsid w:val="00A754FA"/>
    <w:rsid w:val="00A85C57"/>
    <w:rsid w:val="00A87BEC"/>
    <w:rsid w:val="00A91248"/>
    <w:rsid w:val="00A96D59"/>
    <w:rsid w:val="00AA2E6D"/>
    <w:rsid w:val="00AA392B"/>
    <w:rsid w:val="00AA62BD"/>
    <w:rsid w:val="00AB4A51"/>
    <w:rsid w:val="00AC347B"/>
    <w:rsid w:val="00AC51B6"/>
    <w:rsid w:val="00AD1D10"/>
    <w:rsid w:val="00AD557F"/>
    <w:rsid w:val="00AD7E23"/>
    <w:rsid w:val="00AE07DA"/>
    <w:rsid w:val="00B018BA"/>
    <w:rsid w:val="00B05B13"/>
    <w:rsid w:val="00B11FCB"/>
    <w:rsid w:val="00B1389F"/>
    <w:rsid w:val="00B15F7D"/>
    <w:rsid w:val="00B16489"/>
    <w:rsid w:val="00B41D71"/>
    <w:rsid w:val="00B5167E"/>
    <w:rsid w:val="00B54314"/>
    <w:rsid w:val="00B553B7"/>
    <w:rsid w:val="00B606D2"/>
    <w:rsid w:val="00B62205"/>
    <w:rsid w:val="00B6549C"/>
    <w:rsid w:val="00B7184F"/>
    <w:rsid w:val="00B71CE9"/>
    <w:rsid w:val="00B757C7"/>
    <w:rsid w:val="00B81898"/>
    <w:rsid w:val="00B94BE1"/>
    <w:rsid w:val="00B97EF8"/>
    <w:rsid w:val="00BA4ACB"/>
    <w:rsid w:val="00BB13BE"/>
    <w:rsid w:val="00BC532E"/>
    <w:rsid w:val="00BD2823"/>
    <w:rsid w:val="00BD3806"/>
    <w:rsid w:val="00BD4274"/>
    <w:rsid w:val="00BD6F0D"/>
    <w:rsid w:val="00BE08B1"/>
    <w:rsid w:val="00BF18AA"/>
    <w:rsid w:val="00BF2F8B"/>
    <w:rsid w:val="00C01C44"/>
    <w:rsid w:val="00C0453C"/>
    <w:rsid w:val="00C11B64"/>
    <w:rsid w:val="00C43A9D"/>
    <w:rsid w:val="00C54046"/>
    <w:rsid w:val="00C56297"/>
    <w:rsid w:val="00C6289A"/>
    <w:rsid w:val="00C84191"/>
    <w:rsid w:val="00C933B8"/>
    <w:rsid w:val="00CA1817"/>
    <w:rsid w:val="00CA6F4D"/>
    <w:rsid w:val="00CD2C2B"/>
    <w:rsid w:val="00CD3091"/>
    <w:rsid w:val="00CF45CA"/>
    <w:rsid w:val="00CF51C9"/>
    <w:rsid w:val="00CF637A"/>
    <w:rsid w:val="00CF7933"/>
    <w:rsid w:val="00D04C53"/>
    <w:rsid w:val="00D066DD"/>
    <w:rsid w:val="00D15070"/>
    <w:rsid w:val="00D2075B"/>
    <w:rsid w:val="00D274F6"/>
    <w:rsid w:val="00D27587"/>
    <w:rsid w:val="00D46306"/>
    <w:rsid w:val="00D65087"/>
    <w:rsid w:val="00D855D6"/>
    <w:rsid w:val="00DC446A"/>
    <w:rsid w:val="00DC4B42"/>
    <w:rsid w:val="00DF1797"/>
    <w:rsid w:val="00E0177A"/>
    <w:rsid w:val="00E40560"/>
    <w:rsid w:val="00E52325"/>
    <w:rsid w:val="00E65966"/>
    <w:rsid w:val="00E709F3"/>
    <w:rsid w:val="00E77406"/>
    <w:rsid w:val="00E84961"/>
    <w:rsid w:val="00E90ABA"/>
    <w:rsid w:val="00E93567"/>
    <w:rsid w:val="00EA2346"/>
    <w:rsid w:val="00EC2E05"/>
    <w:rsid w:val="00ED5AA4"/>
    <w:rsid w:val="00ED6DA0"/>
    <w:rsid w:val="00EE7054"/>
    <w:rsid w:val="00EF64D5"/>
    <w:rsid w:val="00F01D04"/>
    <w:rsid w:val="00F042A6"/>
    <w:rsid w:val="00F14103"/>
    <w:rsid w:val="00F20D3A"/>
    <w:rsid w:val="00F45876"/>
    <w:rsid w:val="00F46585"/>
    <w:rsid w:val="00F61EC7"/>
    <w:rsid w:val="00F667A7"/>
    <w:rsid w:val="00F71BFE"/>
    <w:rsid w:val="00F75B45"/>
    <w:rsid w:val="00F84FC2"/>
    <w:rsid w:val="00F86236"/>
    <w:rsid w:val="00F87A49"/>
    <w:rsid w:val="00F90053"/>
    <w:rsid w:val="00F9441A"/>
    <w:rsid w:val="00FA4508"/>
    <w:rsid w:val="00FB2FBA"/>
    <w:rsid w:val="00FB450A"/>
    <w:rsid w:val="00FD51EC"/>
    <w:rsid w:val="00FE12AD"/>
    <w:rsid w:val="00FE36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EB650"/>
  <w15:chartTrackingRefBased/>
  <w15:docId w15:val="{5CD8063E-6EFB-444B-8213-F2B429D57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SVA | Body Copy"/>
    <w:qFormat/>
    <w:rsid w:val="0011520A"/>
    <w:pPr>
      <w:spacing w:line="240" w:lineRule="auto"/>
    </w:pPr>
    <w:rPr>
      <w:rFonts w:ascii="Noto Sans" w:hAnsi="Noto Sans" w:cs="Noto Sans"/>
      <w:color w:val="2C2C30" w:themeColor="text2"/>
      <w:spacing w:val="2"/>
      <w:sz w:val="20"/>
      <w:szCs w:val="20"/>
    </w:rPr>
  </w:style>
  <w:style w:type="paragraph" w:styleId="Heading1">
    <w:name w:val="heading 1"/>
    <w:aliases w:val="BSVA | Heading 1"/>
    <w:basedOn w:val="Normal"/>
    <w:next w:val="Normal"/>
    <w:link w:val="Heading1Char"/>
    <w:uiPriority w:val="9"/>
    <w:qFormat/>
    <w:rsid w:val="003A05B2"/>
    <w:pPr>
      <w:spacing w:before="400" w:line="440" w:lineRule="exact"/>
      <w:outlineLvl w:val="0"/>
    </w:pPr>
    <w:rPr>
      <w:rFonts w:ascii="Chillax Semibold" w:hAnsi="Chillax Semibold" w:cs="Noto Sans SemBd"/>
      <w:color w:val="1B1EA9" w:themeColor="accent2"/>
      <w:sz w:val="36"/>
      <w:szCs w:val="36"/>
    </w:rPr>
  </w:style>
  <w:style w:type="paragraph" w:styleId="Heading2">
    <w:name w:val="heading 2"/>
    <w:aliases w:val="BSVA | Heading 2"/>
    <w:basedOn w:val="Normal"/>
    <w:next w:val="Normal"/>
    <w:link w:val="Heading2Char"/>
    <w:uiPriority w:val="9"/>
    <w:unhideWhenUsed/>
    <w:qFormat/>
    <w:rsid w:val="006D45A8"/>
    <w:pPr>
      <w:spacing w:before="400" w:line="400" w:lineRule="exact"/>
      <w:outlineLvl w:val="1"/>
    </w:pPr>
    <w:rPr>
      <w:rFonts w:ascii="Chillax Semibold" w:hAnsi="Chillax Semibold" w:cs="Noto Sans SemBd"/>
      <w:sz w:val="32"/>
      <w:szCs w:val="32"/>
    </w:rPr>
  </w:style>
  <w:style w:type="paragraph" w:styleId="Heading3">
    <w:name w:val="heading 3"/>
    <w:aliases w:val="BSVA | Heading 3"/>
    <w:basedOn w:val="Normal"/>
    <w:next w:val="Normal"/>
    <w:link w:val="Heading3Char"/>
    <w:uiPriority w:val="9"/>
    <w:unhideWhenUsed/>
    <w:qFormat/>
    <w:rsid w:val="00936557"/>
    <w:pPr>
      <w:spacing w:before="400" w:line="380" w:lineRule="exact"/>
      <w:outlineLvl w:val="2"/>
    </w:pPr>
    <w:rPr>
      <w:rFonts w:ascii="Chillax Semibold" w:hAnsi="Chillax Semibold" w:cs="Noto Sans SemBd"/>
      <w:sz w:val="28"/>
      <w:szCs w:val="28"/>
    </w:rPr>
  </w:style>
  <w:style w:type="paragraph" w:styleId="Heading4">
    <w:name w:val="heading 4"/>
    <w:aliases w:val="BSVA | Heading 4"/>
    <w:basedOn w:val="Normal"/>
    <w:next w:val="Normal"/>
    <w:link w:val="Heading4Char"/>
    <w:uiPriority w:val="9"/>
    <w:unhideWhenUsed/>
    <w:qFormat/>
    <w:rsid w:val="00936557"/>
    <w:pPr>
      <w:spacing w:before="400" w:line="340" w:lineRule="exact"/>
      <w:outlineLvl w:val="3"/>
    </w:pPr>
    <w:rPr>
      <w:rFonts w:ascii="Chillax Semibold" w:hAnsi="Chillax Semibold" w:cs="Noto Sans SemBd"/>
      <w:sz w:val="24"/>
      <w:szCs w:val="24"/>
    </w:rPr>
  </w:style>
  <w:style w:type="paragraph" w:styleId="Heading5">
    <w:name w:val="heading 5"/>
    <w:basedOn w:val="Normal"/>
    <w:next w:val="Normal"/>
    <w:link w:val="Heading5Char"/>
    <w:uiPriority w:val="9"/>
    <w:semiHidden/>
    <w:unhideWhenUsed/>
    <w:qFormat/>
    <w:rsid w:val="007006FF"/>
    <w:pPr>
      <w:keepNext/>
      <w:keepLines/>
      <w:spacing w:before="80" w:after="40"/>
      <w:outlineLvl w:val="4"/>
    </w:pPr>
    <w:rPr>
      <w:rFonts w:eastAsiaTheme="majorEastAsia" w:cstheme="majorBidi"/>
      <w:color w:val="6388FF" w:themeColor="accent1" w:themeShade="BF"/>
    </w:rPr>
  </w:style>
  <w:style w:type="paragraph" w:styleId="Heading6">
    <w:name w:val="heading 6"/>
    <w:basedOn w:val="Normal"/>
    <w:next w:val="Normal"/>
    <w:link w:val="Heading6Char"/>
    <w:uiPriority w:val="9"/>
    <w:semiHidden/>
    <w:unhideWhenUsed/>
    <w:qFormat/>
    <w:rsid w:val="00700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SVA | Heading 1 Char"/>
    <w:basedOn w:val="DefaultParagraphFont"/>
    <w:link w:val="Heading1"/>
    <w:uiPriority w:val="9"/>
    <w:rsid w:val="003A05B2"/>
    <w:rPr>
      <w:rFonts w:ascii="Chillax Semibold" w:hAnsi="Chillax Semibold" w:cs="Noto Sans SemBd"/>
      <w:color w:val="1B1EA9" w:themeColor="accent2"/>
      <w:spacing w:val="2"/>
      <w:sz w:val="36"/>
      <w:szCs w:val="36"/>
    </w:rPr>
  </w:style>
  <w:style w:type="character" w:customStyle="1" w:styleId="Heading2Char">
    <w:name w:val="Heading 2 Char"/>
    <w:aliases w:val="BSVA | Heading 2 Char"/>
    <w:basedOn w:val="DefaultParagraphFont"/>
    <w:link w:val="Heading2"/>
    <w:uiPriority w:val="9"/>
    <w:rsid w:val="006D45A8"/>
    <w:rPr>
      <w:rFonts w:ascii="Chillax Semibold" w:hAnsi="Chillax Semibold" w:cs="Noto Sans SemBd"/>
      <w:color w:val="2C2C30" w:themeColor="text2"/>
      <w:spacing w:val="2"/>
      <w:sz w:val="32"/>
      <w:szCs w:val="32"/>
    </w:rPr>
  </w:style>
  <w:style w:type="character" w:customStyle="1" w:styleId="Heading3Char">
    <w:name w:val="Heading 3 Char"/>
    <w:aliases w:val="BSVA | Heading 3 Char"/>
    <w:basedOn w:val="DefaultParagraphFont"/>
    <w:link w:val="Heading3"/>
    <w:uiPriority w:val="9"/>
    <w:rsid w:val="00936557"/>
    <w:rPr>
      <w:rFonts w:ascii="Chillax Semibold" w:hAnsi="Chillax Semibold" w:cs="Noto Sans SemBd"/>
      <w:color w:val="2C2C30" w:themeColor="text2"/>
      <w:spacing w:val="2"/>
      <w:sz w:val="28"/>
      <w:szCs w:val="28"/>
    </w:rPr>
  </w:style>
  <w:style w:type="character" w:customStyle="1" w:styleId="Heading4Char">
    <w:name w:val="Heading 4 Char"/>
    <w:aliases w:val="BSVA | Heading 4 Char"/>
    <w:basedOn w:val="DefaultParagraphFont"/>
    <w:link w:val="Heading4"/>
    <w:uiPriority w:val="9"/>
    <w:rsid w:val="00936557"/>
    <w:rPr>
      <w:rFonts w:ascii="Chillax Semibold" w:hAnsi="Chillax Semibold" w:cs="Noto Sans SemBd"/>
      <w:color w:val="2C2C30" w:themeColor="text2"/>
      <w:spacing w:val="2"/>
    </w:rPr>
  </w:style>
  <w:style w:type="character" w:customStyle="1" w:styleId="Heading5Char">
    <w:name w:val="Heading 5 Char"/>
    <w:basedOn w:val="DefaultParagraphFont"/>
    <w:link w:val="Heading5"/>
    <w:uiPriority w:val="9"/>
    <w:semiHidden/>
    <w:rsid w:val="007006FF"/>
    <w:rPr>
      <w:rFonts w:eastAsiaTheme="majorEastAsia" w:cstheme="majorBidi"/>
      <w:color w:val="6388FF" w:themeColor="accent1" w:themeShade="BF"/>
    </w:rPr>
  </w:style>
  <w:style w:type="character" w:customStyle="1" w:styleId="Heading6Char">
    <w:name w:val="Heading 6 Char"/>
    <w:basedOn w:val="DefaultParagraphFont"/>
    <w:link w:val="Heading6"/>
    <w:uiPriority w:val="9"/>
    <w:semiHidden/>
    <w:rsid w:val="00700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6FF"/>
    <w:rPr>
      <w:rFonts w:eastAsiaTheme="majorEastAsia" w:cstheme="majorBidi"/>
      <w:color w:val="272727" w:themeColor="text1" w:themeTint="D8"/>
    </w:rPr>
  </w:style>
  <w:style w:type="paragraph" w:styleId="Title">
    <w:name w:val="Title"/>
    <w:basedOn w:val="Normal"/>
    <w:next w:val="Normal"/>
    <w:link w:val="TitleChar"/>
    <w:uiPriority w:val="10"/>
    <w:qFormat/>
    <w:rsid w:val="007006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6FF"/>
    <w:rPr>
      <w:rFonts w:eastAsiaTheme="majorEastAsia" w:cstheme="majorBidi"/>
      <w:color w:val="595959" w:themeColor="text1" w:themeTint="A6"/>
      <w:spacing w:val="15"/>
      <w:sz w:val="28"/>
      <w:szCs w:val="28"/>
    </w:rPr>
  </w:style>
  <w:style w:type="paragraph" w:styleId="Quote">
    <w:name w:val="Quote"/>
    <w:aliases w:val="BSVA | Quote Body"/>
    <w:basedOn w:val="Normal"/>
    <w:next w:val="Normal"/>
    <w:link w:val="QuoteChar"/>
    <w:uiPriority w:val="29"/>
    <w:qFormat/>
    <w:rsid w:val="002957F7"/>
    <w:rPr>
      <w:color w:val="1B1EA9" w:themeColor="accent2"/>
    </w:rPr>
  </w:style>
  <w:style w:type="character" w:customStyle="1" w:styleId="QuoteChar">
    <w:name w:val="Quote Char"/>
    <w:aliases w:val="BSVA | Quote Body Char"/>
    <w:basedOn w:val="DefaultParagraphFont"/>
    <w:link w:val="Quote"/>
    <w:uiPriority w:val="29"/>
    <w:rsid w:val="002957F7"/>
    <w:rPr>
      <w:rFonts w:ascii="Noto Sans" w:hAnsi="Noto Sans" w:cs="Noto Sans"/>
      <w:color w:val="1B1EA9" w:themeColor="accent2"/>
      <w:spacing w:val="2"/>
      <w:sz w:val="20"/>
      <w:szCs w:val="20"/>
    </w:rPr>
  </w:style>
  <w:style w:type="paragraph" w:styleId="ListParagraph">
    <w:name w:val="List Paragraph"/>
    <w:basedOn w:val="Normal"/>
    <w:uiPriority w:val="34"/>
    <w:qFormat/>
    <w:rsid w:val="007006FF"/>
    <w:pPr>
      <w:ind w:left="720"/>
      <w:contextualSpacing/>
    </w:pPr>
  </w:style>
  <w:style w:type="character" w:styleId="IntenseEmphasis">
    <w:name w:val="Intense Emphasis"/>
    <w:basedOn w:val="DefaultParagraphFont"/>
    <w:uiPriority w:val="21"/>
    <w:qFormat/>
    <w:rsid w:val="007006FF"/>
    <w:rPr>
      <w:i/>
      <w:iCs/>
      <w:color w:val="6388FF" w:themeColor="accent1" w:themeShade="BF"/>
    </w:rPr>
  </w:style>
  <w:style w:type="paragraph" w:styleId="IntenseQuote">
    <w:name w:val="Intense Quote"/>
    <w:basedOn w:val="Normal"/>
    <w:next w:val="Normal"/>
    <w:link w:val="IntenseQuoteChar"/>
    <w:uiPriority w:val="30"/>
    <w:qFormat/>
    <w:rsid w:val="007006FF"/>
    <w:pPr>
      <w:pBdr>
        <w:top w:val="single" w:sz="4" w:space="10" w:color="6388FF" w:themeColor="accent1" w:themeShade="BF"/>
        <w:bottom w:val="single" w:sz="4" w:space="10" w:color="6388FF" w:themeColor="accent1" w:themeShade="BF"/>
      </w:pBdr>
      <w:spacing w:before="360" w:after="360"/>
      <w:ind w:left="864" w:right="864"/>
      <w:jc w:val="center"/>
    </w:pPr>
    <w:rPr>
      <w:i/>
      <w:iCs/>
      <w:color w:val="6388FF" w:themeColor="accent1" w:themeShade="BF"/>
    </w:rPr>
  </w:style>
  <w:style w:type="character" w:customStyle="1" w:styleId="IntenseQuoteChar">
    <w:name w:val="Intense Quote Char"/>
    <w:basedOn w:val="DefaultParagraphFont"/>
    <w:link w:val="IntenseQuote"/>
    <w:uiPriority w:val="30"/>
    <w:rsid w:val="007006FF"/>
    <w:rPr>
      <w:i/>
      <w:iCs/>
      <w:color w:val="6388FF" w:themeColor="accent1" w:themeShade="BF"/>
    </w:rPr>
  </w:style>
  <w:style w:type="character" w:styleId="IntenseReference">
    <w:name w:val="Intense Reference"/>
    <w:basedOn w:val="DefaultParagraphFont"/>
    <w:uiPriority w:val="32"/>
    <w:qFormat/>
    <w:rsid w:val="007006FF"/>
    <w:rPr>
      <w:b/>
      <w:bCs/>
      <w:smallCaps/>
      <w:color w:val="6388FF" w:themeColor="accent1" w:themeShade="BF"/>
      <w:spacing w:val="5"/>
    </w:rPr>
  </w:style>
  <w:style w:type="paragraph" w:styleId="Header">
    <w:name w:val="header"/>
    <w:aliases w:val="BSVA | Header"/>
    <w:basedOn w:val="Normal"/>
    <w:link w:val="HeaderChar"/>
    <w:uiPriority w:val="99"/>
    <w:unhideWhenUsed/>
    <w:rsid w:val="00E709F3"/>
    <w:pPr>
      <w:tabs>
        <w:tab w:val="center" w:pos="4513"/>
        <w:tab w:val="right" w:pos="9026"/>
      </w:tabs>
      <w:spacing w:after="0"/>
    </w:pPr>
    <w:rPr>
      <w:b/>
      <w:bCs/>
      <w:noProof/>
      <w:sz w:val="14"/>
      <w:szCs w:val="14"/>
    </w:rPr>
  </w:style>
  <w:style w:type="character" w:customStyle="1" w:styleId="HeaderChar">
    <w:name w:val="Header Char"/>
    <w:aliases w:val="BSVA | Header Char"/>
    <w:basedOn w:val="DefaultParagraphFont"/>
    <w:link w:val="Header"/>
    <w:uiPriority w:val="99"/>
    <w:rsid w:val="00E709F3"/>
    <w:rPr>
      <w:rFonts w:ascii="Noto Sans" w:hAnsi="Noto Sans" w:cs="Noto Sans"/>
      <w:b/>
      <w:bCs/>
      <w:noProof/>
      <w:color w:val="2C2C30" w:themeColor="text2"/>
      <w:spacing w:val="2"/>
      <w:sz w:val="14"/>
      <w:szCs w:val="14"/>
    </w:rPr>
  </w:style>
  <w:style w:type="paragraph" w:styleId="Footer">
    <w:name w:val="footer"/>
    <w:aliases w:val="BSVA | Footer"/>
    <w:basedOn w:val="Normal"/>
    <w:link w:val="FooterChar"/>
    <w:uiPriority w:val="99"/>
    <w:unhideWhenUsed/>
    <w:rsid w:val="00BC532E"/>
    <w:pPr>
      <w:tabs>
        <w:tab w:val="center" w:pos="4513"/>
        <w:tab w:val="right" w:pos="9026"/>
      </w:tabs>
      <w:spacing w:after="0"/>
    </w:pPr>
    <w:rPr>
      <w:sz w:val="14"/>
      <w:szCs w:val="14"/>
    </w:rPr>
  </w:style>
  <w:style w:type="character" w:customStyle="1" w:styleId="FooterChar">
    <w:name w:val="Footer Char"/>
    <w:aliases w:val="BSVA | Footer Char"/>
    <w:basedOn w:val="DefaultParagraphFont"/>
    <w:link w:val="Footer"/>
    <w:uiPriority w:val="99"/>
    <w:rsid w:val="00BC532E"/>
    <w:rPr>
      <w:rFonts w:ascii="Noto Sans" w:hAnsi="Noto Sans" w:cs="Noto Sans"/>
      <w:sz w:val="14"/>
      <w:szCs w:val="14"/>
    </w:rPr>
  </w:style>
  <w:style w:type="paragraph" w:customStyle="1" w:styleId="BSVACoverTitle">
    <w:name w:val="BSVA | Cover Title"/>
    <w:basedOn w:val="Normal"/>
    <w:qFormat/>
    <w:rsid w:val="009D7F24"/>
    <w:pPr>
      <w:spacing w:before="11600" w:after="0" w:line="500" w:lineRule="exact"/>
    </w:pPr>
    <w:rPr>
      <w:rFonts w:ascii="Chillax Semibold" w:hAnsi="Chillax Semibold"/>
      <w:b/>
      <w:bCs/>
      <w:sz w:val="60"/>
      <w:szCs w:val="60"/>
    </w:rPr>
  </w:style>
  <w:style w:type="paragraph" w:customStyle="1" w:styleId="BSVACoverSubtitle">
    <w:name w:val="BSVA | Cover Subtitle"/>
    <w:basedOn w:val="BSVACoverTitle"/>
    <w:qFormat/>
    <w:rsid w:val="009D7F24"/>
    <w:pPr>
      <w:spacing w:before="300"/>
    </w:pPr>
    <w:rPr>
      <w:rFonts w:ascii="Noto Sans" w:hAnsi="Noto Sans"/>
      <w:b w:val="0"/>
      <w:bCs w:val="0"/>
      <w:color w:val="003FFF" w:themeColor="accent3"/>
      <w:sz w:val="56"/>
      <w:szCs w:val="56"/>
    </w:rPr>
  </w:style>
  <w:style w:type="paragraph" w:customStyle="1" w:styleId="BSVACoverVersionDescription">
    <w:name w:val="BSVA | Cover Version Description"/>
    <w:basedOn w:val="BSVACoverSubtitle"/>
    <w:qFormat/>
    <w:rsid w:val="00BD2823"/>
    <w:rPr>
      <w:color w:val="2C2C30" w:themeColor="text2"/>
      <w:sz w:val="36"/>
      <w:szCs w:val="36"/>
    </w:rPr>
  </w:style>
  <w:style w:type="paragraph" w:customStyle="1" w:styleId="BSVACoverDate">
    <w:name w:val="BSVA | Cover Date"/>
    <w:basedOn w:val="BSVACoverVersionDescription"/>
    <w:qFormat/>
    <w:rsid w:val="00BD2823"/>
    <w:pPr>
      <w:spacing w:before="120" w:line="240" w:lineRule="auto"/>
    </w:pPr>
    <w:rPr>
      <w:sz w:val="20"/>
      <w:szCs w:val="20"/>
    </w:rPr>
  </w:style>
  <w:style w:type="paragraph" w:styleId="TOCHeading">
    <w:name w:val="TOC Heading"/>
    <w:aliases w:val="BSVA | TOC Heading"/>
    <w:basedOn w:val="Normal"/>
    <w:next w:val="Normal"/>
    <w:uiPriority w:val="39"/>
    <w:unhideWhenUsed/>
    <w:qFormat/>
    <w:rsid w:val="00AE07DA"/>
    <w:pPr>
      <w:spacing w:after="200" w:line="400" w:lineRule="exact"/>
    </w:pPr>
    <w:rPr>
      <w:rFonts w:ascii="Chillax Semibold" w:hAnsi="Chillax Semibold"/>
      <w:b/>
      <w:bCs/>
      <w:color w:val="1B1EA9" w:themeColor="accent2"/>
      <w:sz w:val="36"/>
      <w:szCs w:val="36"/>
    </w:rPr>
  </w:style>
  <w:style w:type="character" w:styleId="Strong">
    <w:name w:val="Strong"/>
    <w:aliases w:val="BSVA | Strong"/>
    <w:basedOn w:val="DefaultParagraphFont"/>
    <w:uiPriority w:val="22"/>
    <w:qFormat/>
    <w:rsid w:val="00FB450A"/>
    <w:rPr>
      <w:b/>
      <w:bCs/>
    </w:rPr>
  </w:style>
  <w:style w:type="paragraph" w:styleId="ListBullet">
    <w:name w:val="List Bullet"/>
    <w:aliases w:val="BSVA | List Bullet 1,SF | List Bullet"/>
    <w:basedOn w:val="Normal"/>
    <w:uiPriority w:val="99"/>
    <w:unhideWhenUsed/>
    <w:rsid w:val="000021F0"/>
    <w:pPr>
      <w:numPr>
        <w:numId w:val="2"/>
      </w:numPr>
      <w:tabs>
        <w:tab w:val="clear" w:pos="360"/>
      </w:tabs>
      <w:spacing w:after="100"/>
      <w:ind w:left="278" w:hanging="278"/>
    </w:pPr>
  </w:style>
  <w:style w:type="numbering" w:customStyle="1" w:styleId="CurrentList1">
    <w:name w:val="Current List1"/>
    <w:uiPriority w:val="99"/>
    <w:rsid w:val="000021F0"/>
    <w:pPr>
      <w:numPr>
        <w:numId w:val="3"/>
      </w:numPr>
    </w:pPr>
  </w:style>
  <w:style w:type="paragraph" w:styleId="ListBullet2">
    <w:name w:val="List Bullet 2"/>
    <w:aliases w:val="BSVA | List Bullet 2"/>
    <w:basedOn w:val="Normal"/>
    <w:uiPriority w:val="99"/>
    <w:unhideWhenUsed/>
    <w:rsid w:val="001D38FA"/>
    <w:pPr>
      <w:numPr>
        <w:numId w:val="4"/>
      </w:numPr>
      <w:tabs>
        <w:tab w:val="clear" w:pos="643"/>
      </w:tabs>
      <w:spacing w:after="100"/>
      <w:ind w:left="590" w:hanging="306"/>
      <w:contextualSpacing/>
    </w:pPr>
  </w:style>
  <w:style w:type="paragraph" w:styleId="ListBullet3">
    <w:name w:val="List Bullet 3"/>
    <w:aliases w:val="BSVA | List Bullet 3"/>
    <w:basedOn w:val="Normal"/>
    <w:uiPriority w:val="99"/>
    <w:unhideWhenUsed/>
    <w:rsid w:val="00BD3806"/>
    <w:pPr>
      <w:numPr>
        <w:numId w:val="6"/>
      </w:numPr>
      <w:spacing w:after="100"/>
      <w:ind w:left="924" w:hanging="357"/>
    </w:pPr>
  </w:style>
  <w:style w:type="character" w:styleId="Hyperlink">
    <w:name w:val="Hyperlink"/>
    <w:aliases w:val="BSVA | Hyperlink"/>
    <w:basedOn w:val="DefaultParagraphFont"/>
    <w:uiPriority w:val="99"/>
    <w:unhideWhenUsed/>
    <w:rsid w:val="00B16489"/>
    <w:rPr>
      <w:color w:val="1B1EA9" w:themeColor="accent2"/>
      <w:u w:val="single"/>
    </w:rPr>
  </w:style>
  <w:style w:type="character" w:styleId="FollowedHyperlink">
    <w:name w:val="FollowedHyperlink"/>
    <w:aliases w:val="BSVA | FollowedHyperlink"/>
    <w:basedOn w:val="FootnoteReference"/>
    <w:uiPriority w:val="99"/>
    <w:unhideWhenUsed/>
    <w:rsid w:val="004F5787"/>
    <w:rPr>
      <w:rFonts w:ascii="Noto Sans SemBd" w:hAnsi="Noto Sans SemBd" w:cs="Noto Sans SemBd"/>
      <w:b/>
      <w:bCs/>
      <w:color w:val="1B1EA9" w:themeColor="accent2"/>
      <w:sz w:val="22"/>
      <w:szCs w:val="22"/>
      <w:vertAlign w:val="superscript"/>
    </w:rPr>
  </w:style>
  <w:style w:type="character" w:styleId="PageNumber">
    <w:name w:val="page number"/>
    <w:aliases w:val="BSVA | Page Number"/>
    <w:uiPriority w:val="99"/>
    <w:unhideWhenUsed/>
    <w:rsid w:val="00293598"/>
  </w:style>
  <w:style w:type="paragraph" w:styleId="FootnoteText">
    <w:name w:val="footnote text"/>
    <w:aliases w:val="BSVA | Footnote Text"/>
    <w:basedOn w:val="Normal"/>
    <w:link w:val="FootnoteTextChar"/>
    <w:uiPriority w:val="99"/>
    <w:unhideWhenUsed/>
    <w:rsid w:val="005D6DE0"/>
    <w:pPr>
      <w:spacing w:after="40"/>
      <w:ind w:left="113" w:hanging="113"/>
    </w:pPr>
    <w:rPr>
      <w:sz w:val="16"/>
      <w:szCs w:val="16"/>
    </w:rPr>
  </w:style>
  <w:style w:type="character" w:customStyle="1" w:styleId="FootnoteTextChar">
    <w:name w:val="Footnote Text Char"/>
    <w:aliases w:val="BSVA | Footnote Text Char"/>
    <w:basedOn w:val="DefaultParagraphFont"/>
    <w:link w:val="FootnoteText"/>
    <w:uiPriority w:val="99"/>
    <w:rsid w:val="005D6DE0"/>
    <w:rPr>
      <w:rFonts w:ascii="Noto Sans" w:hAnsi="Noto Sans" w:cs="Noto Sans"/>
      <w:color w:val="2C2C30" w:themeColor="text2"/>
      <w:spacing w:val="2"/>
      <w:sz w:val="16"/>
      <w:szCs w:val="16"/>
    </w:rPr>
  </w:style>
  <w:style w:type="character" w:styleId="FootnoteReference">
    <w:name w:val="footnote reference"/>
    <w:aliases w:val="BSVA | Footnote Reference"/>
    <w:basedOn w:val="DefaultParagraphFont"/>
    <w:uiPriority w:val="99"/>
    <w:unhideWhenUsed/>
    <w:rsid w:val="00D65087"/>
    <w:rPr>
      <w:rFonts w:ascii="Noto Sans SemBd" w:hAnsi="Noto Sans SemBd" w:cs="Noto Sans SemBd"/>
      <w:b/>
      <w:bCs/>
      <w:color w:val="1B1EA9" w:themeColor="accent2"/>
      <w:vertAlign w:val="superscript"/>
    </w:rPr>
  </w:style>
  <w:style w:type="paragraph" w:customStyle="1" w:styleId="BSVAIntroduction">
    <w:name w:val="BSVA | Introduction"/>
    <w:basedOn w:val="Normal"/>
    <w:qFormat/>
    <w:rsid w:val="009F0EED"/>
    <w:pPr>
      <w:spacing w:after="280"/>
    </w:pPr>
    <w:rPr>
      <w:rFonts w:ascii="Noto Sans SemBd" w:hAnsi="Noto Sans SemBd" w:cs="Noto Sans SemBd"/>
      <w:b/>
      <w:bCs/>
      <w:sz w:val="24"/>
      <w:szCs w:val="24"/>
    </w:rPr>
  </w:style>
  <w:style w:type="paragraph" w:customStyle="1" w:styleId="BSVAQuote">
    <w:name w:val="BSVA | Quote"/>
    <w:basedOn w:val="Normal"/>
    <w:qFormat/>
    <w:rsid w:val="00F90053"/>
    <w:pPr>
      <w:spacing w:before="160"/>
    </w:pPr>
    <w:rPr>
      <w:rFonts w:ascii="Chillax Semibold" w:hAnsi="Chillax Semibold" w:cs="Noto Sans SemBd"/>
      <w:b/>
      <w:bCs/>
      <w:color w:val="003FFF" w:themeColor="accent3"/>
      <w:sz w:val="28"/>
      <w:szCs w:val="28"/>
    </w:rPr>
  </w:style>
  <w:style w:type="paragraph" w:customStyle="1" w:styleId="BSVASectionDividerHeading">
    <w:name w:val="BSVA | Section Divider Heading"/>
    <w:basedOn w:val="Normal"/>
    <w:qFormat/>
    <w:rsid w:val="00483060"/>
    <w:pPr>
      <w:spacing w:before="1200" w:after="0" w:line="760" w:lineRule="exact"/>
      <w:ind w:right="1956"/>
    </w:pPr>
    <w:rPr>
      <w:rFonts w:ascii="Chillax Semibold" w:hAnsi="Chillax Semibold" w:cs="Noto Sans SemBd"/>
      <w:b/>
      <w:bCs/>
      <w:color w:val="003FFF" w:themeColor="accent3"/>
      <w:sz w:val="60"/>
      <w:szCs w:val="60"/>
    </w:rPr>
  </w:style>
  <w:style w:type="paragraph" w:customStyle="1" w:styleId="BSVASectionDividerSubheading">
    <w:name w:val="BSVA | Section Divider Subheading"/>
    <w:basedOn w:val="BSVASectionDividerHeading"/>
    <w:qFormat/>
    <w:rsid w:val="009D68B2"/>
    <w:pPr>
      <w:spacing w:before="700" w:line="240" w:lineRule="auto"/>
      <w:ind w:right="2495"/>
    </w:pPr>
    <w:rPr>
      <w:rFonts w:ascii="Noto Sans" w:hAnsi="Noto Sans" w:cs="Noto Sans"/>
      <w:b w:val="0"/>
      <w:bCs w:val="0"/>
      <w:color w:val="2C2C30" w:themeColor="text2"/>
      <w:sz w:val="28"/>
      <w:szCs w:val="28"/>
    </w:rPr>
  </w:style>
  <w:style w:type="paragraph" w:customStyle="1" w:styleId="BSVANumberedlistheadinglevel2">
    <w:name w:val="BSVA | Numbered list heading level 2"/>
    <w:basedOn w:val="Heading3"/>
    <w:next w:val="BSVANumberedlistheadinglevel1"/>
    <w:qFormat/>
    <w:rsid w:val="00751EA8"/>
    <w:pPr>
      <w:numPr>
        <w:ilvl w:val="1"/>
        <w:numId w:val="10"/>
      </w:numPr>
      <w:spacing w:line="400" w:lineRule="exact"/>
      <w:ind w:left="709" w:hanging="709"/>
      <w:outlineLvl w:val="0"/>
    </w:pPr>
    <w:rPr>
      <w:rFonts w:eastAsiaTheme="minorEastAsia" w:cstheme="minorBidi"/>
      <w:spacing w:val="0"/>
      <w:kern w:val="0"/>
      <w:sz w:val="32"/>
      <w:szCs w:val="32"/>
      <w14:ligatures w14:val="none"/>
    </w:rPr>
  </w:style>
  <w:style w:type="paragraph" w:customStyle="1" w:styleId="BSVANumberedlistheadinglevel3">
    <w:name w:val="BSVA | Numbered list heading level 3"/>
    <w:basedOn w:val="BSVANumberedlistheadinglevel2"/>
    <w:autoRedefine/>
    <w:qFormat/>
    <w:rsid w:val="00751EA8"/>
    <w:pPr>
      <w:numPr>
        <w:ilvl w:val="2"/>
      </w:numPr>
      <w:ind w:left="980" w:hanging="952"/>
      <w:outlineLvl w:val="1"/>
    </w:pPr>
  </w:style>
  <w:style w:type="paragraph" w:customStyle="1" w:styleId="BSVANumberedlistheadinglevel4">
    <w:name w:val="BSVA | Numbered list heading level 4"/>
    <w:basedOn w:val="BSVANumberedlistheadinglevel2"/>
    <w:qFormat/>
    <w:rsid w:val="00B94BE1"/>
    <w:pPr>
      <w:numPr>
        <w:ilvl w:val="3"/>
      </w:numPr>
      <w:ind w:left="1316" w:hanging="1260"/>
    </w:pPr>
  </w:style>
  <w:style w:type="paragraph" w:customStyle="1" w:styleId="Numberedlistheadinglevel4">
    <w:name w:val="Numbered list heading level 4"/>
    <w:basedOn w:val="BSVANumberedlistheadinglevel2"/>
    <w:qFormat/>
    <w:rsid w:val="004B7AFA"/>
    <w:pPr>
      <w:numPr>
        <w:ilvl w:val="4"/>
      </w:numPr>
      <w:tabs>
        <w:tab w:val="left" w:pos="2520"/>
      </w:tabs>
    </w:pPr>
  </w:style>
  <w:style w:type="paragraph" w:customStyle="1" w:styleId="Numberedlistheadinglevel5">
    <w:name w:val="Numbered list heading level 5"/>
    <w:basedOn w:val="BSVANumberedlistheadinglevel2"/>
    <w:qFormat/>
    <w:rsid w:val="004B7AFA"/>
    <w:pPr>
      <w:numPr>
        <w:ilvl w:val="5"/>
      </w:numPr>
      <w:tabs>
        <w:tab w:val="left" w:pos="3010"/>
      </w:tabs>
    </w:pPr>
  </w:style>
  <w:style w:type="paragraph" w:customStyle="1" w:styleId="Numberedlistheadinglevel6">
    <w:name w:val="Numbered list heading level 6"/>
    <w:basedOn w:val="BSVANumberedlistheadinglevel2"/>
    <w:qFormat/>
    <w:rsid w:val="004B7AFA"/>
    <w:pPr>
      <w:numPr>
        <w:ilvl w:val="6"/>
      </w:numPr>
      <w:tabs>
        <w:tab w:val="left" w:pos="3586"/>
      </w:tabs>
    </w:pPr>
  </w:style>
  <w:style w:type="paragraph" w:customStyle="1" w:styleId="BSVANumberedlistheadinglevel1">
    <w:name w:val="BSVA | Numbered list heading level 1"/>
    <w:basedOn w:val="Heading2"/>
    <w:qFormat/>
    <w:rsid w:val="00B94BE1"/>
    <w:pPr>
      <w:numPr>
        <w:numId w:val="10"/>
      </w:numPr>
      <w:spacing w:line="440" w:lineRule="exact"/>
      <w:ind w:left="490" w:hanging="490"/>
    </w:pPr>
    <w:rPr>
      <w:rFonts w:eastAsiaTheme="minorEastAsia" w:cstheme="minorBidi"/>
      <w:color w:val="1B1EA9" w:themeColor="accent2"/>
      <w:spacing w:val="0"/>
      <w:kern w:val="0"/>
      <w:sz w:val="36"/>
      <w:szCs w:val="36"/>
      <w14:ligatures w14:val="none"/>
    </w:rPr>
  </w:style>
  <w:style w:type="paragraph" w:customStyle="1" w:styleId="BSVABoxedListBullet1">
    <w:name w:val="BSVA | Boxed List Bullet 1"/>
    <w:basedOn w:val="ListBullet"/>
    <w:qFormat/>
    <w:rsid w:val="006546EF"/>
    <w:pPr>
      <w:numPr>
        <w:numId w:val="1"/>
      </w:numPr>
      <w:pBdr>
        <w:top w:val="single" w:sz="18" w:space="15" w:color="DAE3FF" w:themeColor="accent1"/>
        <w:left w:val="single" w:sz="18" w:space="19" w:color="DAE3FF" w:themeColor="accent1"/>
        <w:bottom w:val="single" w:sz="18" w:space="15" w:color="DAE3FF" w:themeColor="accent1"/>
        <w:right w:val="single" w:sz="18" w:space="19" w:color="DAE3FF" w:themeColor="accent1"/>
      </w:pBdr>
      <w:shd w:val="clear" w:color="auto" w:fill="DAE3FF" w:themeFill="accent1"/>
      <w:ind w:left="811" w:right="457" w:hanging="357"/>
    </w:pPr>
    <w:rPr>
      <w:noProof/>
      <w:color w:val="auto"/>
      <w:spacing w:val="0"/>
      <w:lang w:val="en-US"/>
    </w:rPr>
  </w:style>
  <w:style w:type="paragraph" w:customStyle="1" w:styleId="BSVABoxedHeading">
    <w:name w:val="BSVA | Boxed Heading"/>
    <w:basedOn w:val="Normal"/>
    <w:qFormat/>
    <w:rsid w:val="006546EF"/>
    <w:pPr>
      <w:widowControl w:val="0"/>
      <w:pBdr>
        <w:top w:val="single" w:sz="18" w:space="15" w:color="DAE3FF" w:themeColor="accent1"/>
        <w:left w:val="single" w:sz="18" w:space="19" w:color="DAE3FF" w:themeColor="accent1"/>
        <w:bottom w:val="single" w:sz="18" w:space="15" w:color="DAE3FF" w:themeColor="accent1"/>
        <w:right w:val="single" w:sz="18" w:space="19" w:color="DAE3FF" w:themeColor="accent1"/>
      </w:pBdr>
      <w:shd w:val="clear" w:color="auto" w:fill="DAE3FF" w:themeFill="accent1"/>
      <w:suppressAutoHyphens/>
      <w:snapToGrid w:val="0"/>
      <w:spacing w:before="180"/>
      <w:ind w:left="454" w:right="457"/>
    </w:pPr>
    <w:rPr>
      <w:rFonts w:ascii="Chillax Semibold" w:hAnsi="Chillax Semibold" w:cs="Source Sans Pro Regular"/>
      <w:noProof/>
      <w:spacing w:val="6"/>
      <w:kern w:val="6"/>
      <w:sz w:val="26"/>
      <w:szCs w:val="26"/>
      <w:lang w:val="en-US" w:eastAsia="en-GB"/>
      <w14:textOutline w14:w="9525" w14:cap="rnd" w14:cmpd="sng" w14:algn="ctr">
        <w14:noFill/>
        <w14:prstDash w14:val="solid"/>
        <w14:bevel/>
      </w14:textOutline>
      <w14:ligatures w14:val="none"/>
    </w:rPr>
  </w:style>
  <w:style w:type="paragraph" w:customStyle="1" w:styleId="BSVABoxedTextQuote">
    <w:name w:val="BSVA | Boxed Text Quote"/>
    <w:basedOn w:val="Normal"/>
    <w:uiPriority w:val="18"/>
    <w:qFormat/>
    <w:rsid w:val="00F042A6"/>
    <w:pPr>
      <w:widowControl w:val="0"/>
      <w:pBdr>
        <w:top w:val="single" w:sz="18" w:space="15" w:color="DAE3FF" w:themeColor="accent1"/>
        <w:left w:val="single" w:sz="18" w:space="19" w:color="DAE3FF" w:themeColor="accent1"/>
        <w:bottom w:val="single" w:sz="18" w:space="15" w:color="DAE3FF" w:themeColor="accent1"/>
        <w:right w:val="single" w:sz="18" w:space="19" w:color="DAE3FF" w:themeColor="accent1"/>
      </w:pBdr>
      <w:shd w:val="clear" w:color="auto" w:fill="DAE3FF" w:themeFill="accent1"/>
      <w:suppressAutoHyphens/>
      <w:snapToGrid w:val="0"/>
      <w:spacing w:before="160"/>
      <w:ind w:left="454" w:right="457"/>
    </w:pPr>
    <w:rPr>
      <w:rFonts w:ascii="Chillax Semibold" w:hAnsi="Chillax Semibold" w:cs="Source Sans Pro Regular"/>
      <w:b/>
      <w:noProof/>
      <w:color w:val="003FFF" w:themeColor="accent3"/>
      <w:spacing w:val="14"/>
      <w:kern w:val="6"/>
      <w:sz w:val="26"/>
      <w:szCs w:val="26"/>
      <w:lang w:val="en-US" w:eastAsia="en-GB"/>
      <w14:textOutline w14:w="9525" w14:cap="rnd" w14:cmpd="sng" w14:algn="ctr">
        <w14:noFill/>
        <w14:prstDash w14:val="solid"/>
        <w14:bevel/>
      </w14:textOutline>
      <w14:ligatures w14:val="none"/>
    </w:rPr>
  </w:style>
  <w:style w:type="paragraph" w:customStyle="1" w:styleId="BSVABoxedTextQuoteName">
    <w:name w:val="BSVA | Boxed Text Quote – Name"/>
    <w:basedOn w:val="BSVABoxedTextQuote"/>
    <w:qFormat/>
    <w:rsid w:val="005C57D4"/>
    <w:pPr>
      <w:jc w:val="right"/>
    </w:pPr>
    <w:rPr>
      <w:b w:val="0"/>
      <w:bCs/>
      <w:color w:val="1B1EA9" w:themeColor="accent2"/>
      <w:spacing w:val="10"/>
      <w:sz w:val="22"/>
      <w:szCs w:val="22"/>
    </w:rPr>
  </w:style>
  <w:style w:type="paragraph" w:customStyle="1" w:styleId="BSVAABCList">
    <w:name w:val="BSVA | ABC List"/>
    <w:basedOn w:val="ListParagraph"/>
    <w:qFormat/>
    <w:rsid w:val="00B018BA"/>
    <w:pPr>
      <w:numPr>
        <w:numId w:val="11"/>
      </w:numPr>
      <w:ind w:left="476" w:hanging="434"/>
      <w:contextualSpacing w:val="0"/>
    </w:pPr>
  </w:style>
  <w:style w:type="paragraph" w:customStyle="1" w:styleId="BSVATableText">
    <w:name w:val="BSVA | Table Text"/>
    <w:basedOn w:val="Normal"/>
    <w:qFormat/>
    <w:rsid w:val="0022433C"/>
    <w:pPr>
      <w:spacing w:after="0" w:line="200" w:lineRule="exact"/>
    </w:pPr>
    <w:rPr>
      <w:rFonts w:eastAsiaTheme="minorEastAsia"/>
      <w:color w:val="0B0814"/>
      <w:spacing w:val="0"/>
      <w:kern w:val="0"/>
      <w:sz w:val="16"/>
      <w:szCs w:val="16"/>
      <w14:ligatures w14:val="none"/>
    </w:rPr>
  </w:style>
  <w:style w:type="paragraph" w:customStyle="1" w:styleId="BSVATableHeader">
    <w:name w:val="BSVA | Table Header"/>
    <w:basedOn w:val="Normal"/>
    <w:qFormat/>
    <w:rsid w:val="008812E2"/>
    <w:pPr>
      <w:spacing w:after="0"/>
    </w:pPr>
    <w:rPr>
      <w:rFonts w:ascii="Noto Sans SemBd" w:eastAsiaTheme="minorEastAsia" w:hAnsi="Noto Sans SemBd" w:cs="Noto Sans SemBd"/>
      <w:b/>
      <w:bCs/>
      <w:color w:val="0B0814"/>
      <w:spacing w:val="0"/>
      <w:kern w:val="0"/>
      <w:sz w:val="22"/>
      <w:szCs w:val="16"/>
      <w14:ligatures w14:val="none"/>
    </w:rPr>
  </w:style>
  <w:style w:type="table" w:customStyle="1" w:styleId="nChain">
    <w:name w:val="nChain"/>
    <w:basedOn w:val="TableNormal"/>
    <w:uiPriority w:val="99"/>
    <w:rsid w:val="008812E2"/>
    <w:pPr>
      <w:spacing w:after="0" w:line="240" w:lineRule="auto"/>
    </w:pPr>
    <w:rPr>
      <w:rFonts w:ascii="Gibson" w:hAnsi="Gibson"/>
      <w:kern w:val="0"/>
      <w:sz w:val="16"/>
      <w14:ligatures w14:val="none"/>
    </w:rPr>
    <w:tblPr>
      <w:tblStyleRowBandSize w:val="1"/>
      <w:tblStyleColBandSize w:val="1"/>
      <w:tblBorders>
        <w:top w:val="single" w:sz="4" w:space="0" w:color="1B1EA9" w:themeColor="accent2"/>
        <w:bottom w:val="single" w:sz="4" w:space="0" w:color="1B1EA9" w:themeColor="accent2"/>
        <w:insideH w:val="single" w:sz="4" w:space="0" w:color="1B1EA9" w:themeColor="accent2"/>
      </w:tblBorders>
      <w:tblCellMar>
        <w:top w:w="142" w:type="dxa"/>
        <w:left w:w="142" w:type="dxa"/>
        <w:bottom w:w="142" w:type="dxa"/>
        <w:right w:w="142" w:type="dxa"/>
      </w:tblCellMar>
    </w:tblPr>
    <w:tcPr>
      <w:shd w:val="clear" w:color="auto" w:fill="auto"/>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8FF" w:themeFill="accent3" w:themeFillTint="33"/>
      </w:tcPr>
    </w:tblStylePr>
    <w:tblStylePr w:type="band1Horz">
      <w:tblPr/>
      <w:tcPr>
        <w:shd w:val="clear" w:color="auto" w:fill="CCD8FF" w:themeFill="accent3" w:themeFillTint="33"/>
      </w:tcPr>
    </w:tblStylePr>
  </w:style>
  <w:style w:type="table" w:styleId="TableGrid">
    <w:name w:val="Table Grid"/>
    <w:basedOn w:val="TableNormal"/>
    <w:rsid w:val="00224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Wphotoandcredit">
    <w:name w:val="GW photo and credit"/>
    <w:basedOn w:val="TableNormal"/>
    <w:uiPriority w:val="99"/>
    <w:rsid w:val="00A12220"/>
    <w:pPr>
      <w:suppressAutoHyphens/>
      <w:spacing w:after="0" w:line="200" w:lineRule="exact"/>
    </w:pPr>
    <w:rPr>
      <w:color w:val="000000" w:themeColor="text1"/>
      <w:kern w:val="0"/>
      <w:sz w:val="16"/>
      <w:lang w:eastAsia="en-GB"/>
      <w14:ligatures w14:val="none"/>
    </w:rPr>
    <w:tblPr>
      <w:tblCellMar>
        <w:left w:w="0" w:type="dxa"/>
        <w:right w:w="0" w:type="dxa"/>
      </w:tblCellMar>
    </w:tblPr>
    <w:trPr>
      <w:cantSplit/>
    </w:trPr>
  </w:style>
  <w:style w:type="paragraph" w:customStyle="1" w:styleId="BSVAFigurePicturedescription">
    <w:name w:val="BSVA | Figure – Picture description"/>
    <w:basedOn w:val="Caption"/>
    <w:uiPriority w:val="29"/>
    <w:qFormat/>
    <w:rsid w:val="00BE08B1"/>
    <w:pPr>
      <w:spacing w:before="240"/>
      <w:ind w:firstLine="11"/>
    </w:pPr>
    <w:rPr>
      <w:rFonts w:cs="Arial"/>
      <w:i w:val="0"/>
      <w:noProof/>
      <w:spacing w:val="0"/>
      <w:kern w:val="0"/>
      <w14:ligatures w14:val="none"/>
    </w:rPr>
  </w:style>
  <w:style w:type="paragraph" w:styleId="Caption">
    <w:name w:val="caption"/>
    <w:basedOn w:val="Normal"/>
    <w:next w:val="Normal"/>
    <w:uiPriority w:val="35"/>
    <w:semiHidden/>
    <w:unhideWhenUsed/>
    <w:qFormat/>
    <w:rsid w:val="00A12220"/>
    <w:pPr>
      <w:spacing w:after="200"/>
    </w:pPr>
    <w:rPr>
      <w:i/>
      <w:iCs/>
      <w:sz w:val="18"/>
      <w:szCs w:val="18"/>
    </w:rPr>
  </w:style>
  <w:style w:type="character" w:styleId="UnresolvedMention">
    <w:name w:val="Unresolved Mention"/>
    <w:basedOn w:val="DefaultParagraphFont"/>
    <w:uiPriority w:val="99"/>
    <w:semiHidden/>
    <w:unhideWhenUsed/>
    <w:rsid w:val="00BD6F0D"/>
    <w:rPr>
      <w:color w:val="605E5C"/>
      <w:shd w:val="clear" w:color="auto" w:fill="E1DFDD"/>
    </w:rPr>
  </w:style>
  <w:style w:type="paragraph" w:styleId="TOC1">
    <w:name w:val="toc 1"/>
    <w:aliases w:val="BSVA | TOC 1"/>
    <w:basedOn w:val="Normal"/>
    <w:next w:val="Normal"/>
    <w:autoRedefine/>
    <w:uiPriority w:val="39"/>
    <w:unhideWhenUsed/>
    <w:rsid w:val="00A1272D"/>
    <w:pPr>
      <w:tabs>
        <w:tab w:val="left" w:pos="518"/>
        <w:tab w:val="left" w:pos="826"/>
        <w:tab w:val="left" w:pos="882"/>
        <w:tab w:val="right" w:leader="dot" w:pos="9854"/>
      </w:tabs>
      <w:spacing w:before="120" w:after="0"/>
    </w:pPr>
    <w:rPr>
      <w:rFonts w:ascii="Noto Sans SemBd" w:hAnsi="Noto Sans SemBd" w:cstheme="minorHAnsi"/>
      <w:b/>
      <w:bCs/>
      <w:iCs/>
      <w:noProof/>
      <w:szCs w:val="24"/>
    </w:rPr>
  </w:style>
  <w:style w:type="paragraph" w:styleId="TOC2">
    <w:name w:val="toc 2"/>
    <w:aliases w:val="BSVA | TOC 2"/>
    <w:basedOn w:val="TOC1"/>
    <w:next w:val="Normal"/>
    <w:autoRedefine/>
    <w:uiPriority w:val="39"/>
    <w:unhideWhenUsed/>
    <w:rsid w:val="0058353D"/>
    <w:pPr>
      <w:tabs>
        <w:tab w:val="clear" w:pos="518"/>
        <w:tab w:val="clear" w:pos="826"/>
        <w:tab w:val="clear" w:pos="882"/>
        <w:tab w:val="left" w:pos="308"/>
      </w:tabs>
    </w:pPr>
    <w:rPr>
      <w:rFonts w:ascii="Noto Sans" w:hAnsi="Noto Sans" w:cs="Noto Sans"/>
      <w:b w:val="0"/>
      <w:bCs w:val="0"/>
      <w:iCs w:val="0"/>
    </w:rPr>
  </w:style>
  <w:style w:type="paragraph" w:styleId="TOC3">
    <w:name w:val="toc 3"/>
    <w:aliases w:val="BSVA | TOC 3"/>
    <w:basedOn w:val="TOC2"/>
    <w:next w:val="Normal"/>
    <w:autoRedefine/>
    <w:uiPriority w:val="39"/>
    <w:unhideWhenUsed/>
    <w:rsid w:val="0058353D"/>
    <w:pPr>
      <w:tabs>
        <w:tab w:val="clear" w:pos="308"/>
        <w:tab w:val="left" w:pos="840"/>
        <w:tab w:val="left" w:pos="868"/>
      </w:tabs>
      <w:ind w:left="364" w:hanging="14"/>
    </w:pPr>
  </w:style>
  <w:style w:type="paragraph" w:styleId="TOC4">
    <w:name w:val="toc 4"/>
    <w:aliases w:val="BSVA | TOC 4"/>
    <w:basedOn w:val="TOC2"/>
    <w:next w:val="Normal"/>
    <w:autoRedefine/>
    <w:uiPriority w:val="39"/>
    <w:unhideWhenUsed/>
    <w:rsid w:val="0058353D"/>
    <w:pPr>
      <w:tabs>
        <w:tab w:val="clear" w:pos="308"/>
        <w:tab w:val="left" w:pos="1498"/>
      </w:tabs>
      <w:ind w:left="854"/>
    </w:pPr>
  </w:style>
  <w:style w:type="paragraph" w:styleId="TOC5">
    <w:name w:val="toc 5"/>
    <w:aliases w:val="BSVA | TOC 5"/>
    <w:basedOn w:val="TOC2"/>
    <w:next w:val="Normal"/>
    <w:autoRedefine/>
    <w:uiPriority w:val="39"/>
    <w:unhideWhenUsed/>
    <w:rsid w:val="0058353D"/>
    <w:pPr>
      <w:tabs>
        <w:tab w:val="clear" w:pos="308"/>
        <w:tab w:val="left" w:pos="2352"/>
      </w:tabs>
      <w:ind w:left="1512" w:firstLine="14"/>
    </w:pPr>
  </w:style>
  <w:style w:type="paragraph" w:styleId="TOC6">
    <w:name w:val="toc 6"/>
    <w:basedOn w:val="Normal"/>
    <w:next w:val="Normal"/>
    <w:autoRedefine/>
    <w:uiPriority w:val="39"/>
    <w:semiHidden/>
    <w:unhideWhenUsed/>
    <w:rsid w:val="00407FBD"/>
    <w:pPr>
      <w:spacing w:after="0"/>
      <w:ind w:left="1000"/>
    </w:pPr>
    <w:rPr>
      <w:rFonts w:asciiTheme="minorHAnsi" w:hAnsiTheme="minorHAnsi" w:cstheme="minorHAnsi"/>
    </w:rPr>
  </w:style>
  <w:style w:type="paragraph" w:styleId="TOC7">
    <w:name w:val="toc 7"/>
    <w:basedOn w:val="Normal"/>
    <w:next w:val="Normal"/>
    <w:autoRedefine/>
    <w:uiPriority w:val="39"/>
    <w:semiHidden/>
    <w:unhideWhenUsed/>
    <w:rsid w:val="00407FBD"/>
    <w:pPr>
      <w:spacing w:after="0"/>
      <w:ind w:left="1200"/>
    </w:pPr>
    <w:rPr>
      <w:rFonts w:asciiTheme="minorHAnsi" w:hAnsiTheme="minorHAnsi" w:cstheme="minorHAnsi"/>
    </w:rPr>
  </w:style>
  <w:style w:type="paragraph" w:styleId="TOC8">
    <w:name w:val="toc 8"/>
    <w:basedOn w:val="Normal"/>
    <w:next w:val="Normal"/>
    <w:autoRedefine/>
    <w:uiPriority w:val="39"/>
    <w:semiHidden/>
    <w:unhideWhenUsed/>
    <w:rsid w:val="00407FBD"/>
    <w:pPr>
      <w:spacing w:after="0"/>
      <w:ind w:left="1400"/>
    </w:pPr>
    <w:rPr>
      <w:rFonts w:asciiTheme="minorHAnsi" w:hAnsiTheme="minorHAnsi" w:cstheme="minorHAnsi"/>
    </w:rPr>
  </w:style>
  <w:style w:type="paragraph" w:styleId="TOC9">
    <w:name w:val="toc 9"/>
    <w:basedOn w:val="Normal"/>
    <w:next w:val="Normal"/>
    <w:autoRedefine/>
    <w:uiPriority w:val="39"/>
    <w:semiHidden/>
    <w:unhideWhenUsed/>
    <w:rsid w:val="00407FBD"/>
    <w:pPr>
      <w:spacing w:after="0"/>
      <w:ind w:left="1600"/>
    </w:pPr>
    <w:rPr>
      <w:rFonts w:asciiTheme="minorHAnsi" w:hAnsiTheme="minorHAnsi"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696269">
      <w:bodyDiv w:val="1"/>
      <w:marLeft w:val="0"/>
      <w:marRight w:val="0"/>
      <w:marTop w:val="0"/>
      <w:marBottom w:val="0"/>
      <w:divBdr>
        <w:top w:val="none" w:sz="0" w:space="0" w:color="auto"/>
        <w:left w:val="none" w:sz="0" w:space="0" w:color="auto"/>
        <w:bottom w:val="none" w:sz="0" w:space="0" w:color="auto"/>
        <w:right w:val="none" w:sz="0" w:space="0" w:color="auto"/>
      </w:divBdr>
    </w:div>
    <w:div w:id="55555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2.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chart" Target="charts/chart1.xm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3.xml"/><Relationship Id="rId22" Type="http://schemas.openxmlformats.org/officeDocument/2006/relationships/header" Target="header4.xml"/><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3" Type="http://schemas.openxmlformats.org/officeDocument/2006/relationships/hyperlink" Target="http://association.bsvblockchain.org/" TargetMode="External"/><Relationship Id="rId2" Type="http://schemas.openxmlformats.org/officeDocument/2006/relationships/hyperlink" Target="mailto:contact@bsvassociation.org" TargetMode="External"/><Relationship Id="rId1" Type="http://schemas.openxmlformats.org/officeDocument/2006/relationships/image" Target="media/image5.png"/><Relationship Id="rId6" Type="http://schemas.openxmlformats.org/officeDocument/2006/relationships/image" Target="media/image6.emf"/><Relationship Id="rId5" Type="http://schemas.openxmlformats.org/officeDocument/2006/relationships/hyperlink" Target="http://association.bsvblockchain.org/" TargetMode="External"/><Relationship Id="rId4" Type="http://schemas.openxmlformats.org/officeDocument/2006/relationships/hyperlink" Target="mailto:contact@bsvassociation.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losblasco/Library/Group%20Containers/UBF8T346G9.Office/User%20Content.localized/Templates.localized/BSV%20Association%20Word%20template%202025.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spPr>
            <a:ln>
              <a:noFill/>
            </a:ln>
          </c:spPr>
          <c:dPt>
            <c:idx val="0"/>
            <c:bubble3D val="0"/>
            <c:spPr>
              <a:solidFill>
                <a:schemeClr val="tx2"/>
              </a:solidFill>
              <a:ln w="19050">
                <a:noFill/>
              </a:ln>
              <a:effectLst/>
            </c:spPr>
            <c:extLst>
              <c:ext xmlns:c16="http://schemas.microsoft.com/office/drawing/2014/chart" uri="{C3380CC4-5D6E-409C-BE32-E72D297353CC}">
                <c16:uniqueId val="{00000001-A3C8-7A47-B2C7-A9C37DFC1E46}"/>
              </c:ext>
            </c:extLst>
          </c:dPt>
          <c:dPt>
            <c:idx val="1"/>
            <c:bubble3D val="0"/>
            <c:spPr>
              <a:solidFill>
                <a:schemeClr val="accent3"/>
              </a:solidFill>
              <a:ln w="19050">
                <a:noFill/>
              </a:ln>
              <a:effectLst/>
            </c:spPr>
            <c:extLst>
              <c:ext xmlns:c16="http://schemas.microsoft.com/office/drawing/2014/chart" uri="{C3380CC4-5D6E-409C-BE32-E72D297353CC}">
                <c16:uniqueId val="{00000003-A3C8-7A47-B2C7-A9C37DFC1E46}"/>
              </c:ext>
            </c:extLst>
          </c:dPt>
          <c:dPt>
            <c:idx val="2"/>
            <c:bubble3D val="0"/>
            <c:spPr>
              <a:solidFill>
                <a:schemeClr val="accent2"/>
              </a:solidFill>
              <a:ln w="19050">
                <a:noFill/>
              </a:ln>
              <a:effectLst/>
            </c:spPr>
            <c:extLst>
              <c:ext xmlns:c16="http://schemas.microsoft.com/office/drawing/2014/chart" uri="{C3380CC4-5D6E-409C-BE32-E72D297353CC}">
                <c16:uniqueId val="{00000005-A3C8-7A47-B2C7-A9C37DFC1E46}"/>
              </c:ext>
            </c:extLst>
          </c:dPt>
          <c:dPt>
            <c:idx val="3"/>
            <c:bubble3D val="0"/>
            <c:spPr>
              <a:solidFill>
                <a:schemeClr val="accent5"/>
              </a:solidFill>
              <a:ln w="19050">
                <a:noFill/>
              </a:ln>
              <a:effectLst/>
            </c:spPr>
            <c:extLst>
              <c:ext xmlns:c16="http://schemas.microsoft.com/office/drawing/2014/chart" uri="{C3380CC4-5D6E-409C-BE32-E72D297353CC}">
                <c16:uniqueId val="{00000007-A3C8-7A47-B2C7-A9C37DFC1E46}"/>
              </c:ext>
            </c:extLst>
          </c:dPt>
          <c:cat>
            <c:strRef>
              <c:f>Sheet1!$A$2:$A$5</c:f>
              <c:strCache>
                <c:ptCount val="4"/>
                <c:pt idx="0">
                  <c:v>1st Qtr</c:v>
                </c:pt>
                <c:pt idx="1">
                  <c:v>2nd Qtr</c:v>
                </c:pt>
                <c:pt idx="2">
                  <c:v>3rd Qtr</c:v>
                </c:pt>
                <c:pt idx="3">
                  <c:v>4th Qtr</c:v>
                </c:pt>
              </c:strCache>
            </c:strRef>
          </c:cat>
          <c:val>
            <c:numRef>
              <c:f>Sheet1!$B$2:$B$5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A3C8-7A47-B2C7-A9C37DFC1E46}"/>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spc="70" baseline="0">
              <a:solidFill>
                <a:schemeClr val="tx2"/>
              </a:solidFill>
              <a:latin typeface="Noto Sans" panose="020B0502040504020204" pitchFamily="34" charset="0"/>
              <a:ea typeface="Noto Sans" panose="020B0502040504020204" pitchFamily="34" charset="0"/>
              <a:cs typeface="Noto Sans" panose="020B050204050402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spPr>
            <a:solidFill>
              <a:schemeClr val="tx2"/>
            </a:solidFill>
          </c:spPr>
          <c:dPt>
            <c:idx val="0"/>
            <c:bubble3D val="0"/>
            <c:spPr>
              <a:solidFill>
                <a:schemeClr val="tx2"/>
              </a:solidFill>
              <a:ln w="19050">
                <a:noFill/>
              </a:ln>
              <a:effectLst/>
            </c:spPr>
            <c:extLst>
              <c:ext xmlns:c16="http://schemas.microsoft.com/office/drawing/2014/chart" uri="{C3380CC4-5D6E-409C-BE32-E72D297353CC}">
                <c16:uniqueId val="{00000001-5B5D-FC46-88B5-E1F3E6314507}"/>
              </c:ext>
            </c:extLst>
          </c:dPt>
          <c:dPt>
            <c:idx val="1"/>
            <c:bubble3D val="0"/>
            <c:spPr>
              <a:solidFill>
                <a:schemeClr val="accent3"/>
              </a:solidFill>
              <a:ln w="19050">
                <a:noFill/>
              </a:ln>
              <a:effectLst/>
            </c:spPr>
            <c:extLst>
              <c:ext xmlns:c16="http://schemas.microsoft.com/office/drawing/2014/chart" uri="{C3380CC4-5D6E-409C-BE32-E72D297353CC}">
                <c16:uniqueId val="{00000003-5B5D-FC46-88B5-E1F3E6314507}"/>
              </c:ext>
            </c:extLst>
          </c:dPt>
          <c:cat>
            <c:strRef>
              <c:f>Sheet1!$A$2:$A$3</c:f>
              <c:strCache>
                <c:ptCount val="2"/>
                <c:pt idx="0">
                  <c:v>1st Qtr</c:v>
                </c:pt>
                <c:pt idx="1">
                  <c:v>2nd Qtr</c:v>
                </c:pt>
              </c:strCache>
            </c:strRef>
          </c:cat>
          <c:val>
            <c:numRef>
              <c:f>Sheet1!$B$2:$B$3</c:f>
              <c:numCache>
                <c:formatCode>General</c:formatCode>
                <c:ptCount val="2"/>
                <c:pt idx="0">
                  <c:v>8.1999999999999993</c:v>
                </c:pt>
                <c:pt idx="1">
                  <c:v>3.2</c:v>
                </c:pt>
              </c:numCache>
            </c:numRef>
          </c:val>
          <c:extLst>
            <c:ext xmlns:c16="http://schemas.microsoft.com/office/drawing/2014/chart" uri="{C3380CC4-5D6E-409C-BE32-E72D297353CC}">
              <c16:uniqueId val="{00000004-5B5D-FC46-88B5-E1F3E6314507}"/>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spc="70" baseline="0">
              <a:solidFill>
                <a:schemeClr val="tx2"/>
              </a:solidFill>
              <a:latin typeface="Noto Sans" panose="020B0502040504020204" pitchFamily="34" charset="0"/>
              <a:ea typeface="Noto Sans" panose="020B0502040504020204" pitchFamily="34" charset="0"/>
              <a:cs typeface="Noto Sans" panose="020B050204050402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300" b="1" i="0">
                <a:solidFill>
                  <a:schemeClr val="accent2"/>
                </a:solidFill>
                <a:latin typeface="Chillax Semibold" pitchFamily="2" charset="77"/>
              </a:rPr>
              <a:t>This is a chart title if needed,</a:t>
            </a:r>
            <a:r>
              <a:rPr lang="en-GB" sz="1300" b="1" i="0" baseline="0">
                <a:solidFill>
                  <a:schemeClr val="accent2"/>
                </a:solidFill>
                <a:latin typeface="Chillax Semibold" pitchFamily="2" charset="77"/>
              </a:rPr>
              <a:t> Chillax Semi Bold– 13Pt</a:t>
            </a:r>
            <a:endParaRPr lang="en-GB" sz="1300" b="1" i="0">
              <a:solidFill>
                <a:schemeClr val="accent2"/>
              </a:solidFill>
              <a:latin typeface="Chillax Semibold" pitchFamily="2" charset="77"/>
            </a:endParaRPr>
          </a:p>
        </c:rich>
      </c:tx>
      <c:layout>
        <c:manualLayout>
          <c:xMode val="edge"/>
          <c:yMode val="edge"/>
          <c:x val="0.16242067513837999"/>
          <c:y val="4.194901581155211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manualLayout>
          <c:layoutTarget val="inner"/>
          <c:xMode val="edge"/>
          <c:yMode val="edge"/>
          <c:x val="5.9026228278842192E-2"/>
          <c:y val="0.12062641492175531"/>
          <c:w val="0.94097377172115781"/>
          <c:h val="0.68998381494665539"/>
        </c:manualLayout>
      </c:layout>
      <c:barChart>
        <c:barDir val="col"/>
        <c:grouping val="clustered"/>
        <c:varyColors val="0"/>
        <c:ser>
          <c:idx val="0"/>
          <c:order val="0"/>
          <c:tx>
            <c:strRef>
              <c:f>Sheet1!$B$1</c:f>
              <c:strCache>
                <c:ptCount val="1"/>
                <c:pt idx="0">
                  <c:v>Series 1</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67AD-3541-B9F2-D9664B594BD2}"/>
            </c:ext>
          </c:extLst>
        </c:ser>
        <c:ser>
          <c:idx val="1"/>
          <c:order val="1"/>
          <c:tx>
            <c:strRef>
              <c:f>Sheet1!$C$1</c:f>
              <c:strCache>
                <c:ptCount val="1"/>
                <c:pt idx="0">
                  <c:v>Series 2</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67AD-3541-B9F2-D9664B594BD2}"/>
            </c:ext>
          </c:extLst>
        </c:ser>
        <c:ser>
          <c:idx val="2"/>
          <c:order val="2"/>
          <c:tx>
            <c:strRef>
              <c:f>Sheet1!$D$1</c:f>
              <c:strCache>
                <c:ptCount val="1"/>
                <c:pt idx="0">
                  <c:v>Series 3</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67AD-3541-B9F2-D9664B594BD2}"/>
            </c:ext>
          </c:extLst>
        </c:ser>
        <c:dLbls>
          <c:showLegendKey val="0"/>
          <c:showVal val="0"/>
          <c:showCatName val="0"/>
          <c:showSerName val="0"/>
          <c:showPercent val="0"/>
          <c:showBubbleSize val="0"/>
        </c:dLbls>
        <c:gapWidth val="219"/>
        <c:overlap val="-27"/>
        <c:axId val="604745712"/>
        <c:axId val="604850544"/>
      </c:barChart>
      <c:catAx>
        <c:axId val="604745712"/>
        <c:scaling>
          <c:orientation val="minMax"/>
        </c:scaling>
        <c:delete val="0"/>
        <c:axPos val="b"/>
        <c:numFmt formatCode="General" sourceLinked="1"/>
        <c:majorTickMark val="none"/>
        <c:minorTickMark val="none"/>
        <c:tickLblPos val="nextTo"/>
        <c:spPr>
          <a:noFill/>
          <a:ln w="9525" cap="flat" cmpd="sng" algn="ctr">
            <a:solidFill>
              <a:schemeClr val="accent2"/>
            </a:solidFill>
            <a:round/>
          </a:ln>
          <a:effectLst/>
        </c:spPr>
        <c:txPr>
          <a:bodyPr rot="-60000000" spcFirstLastPara="1" vertOverflow="ellipsis" vert="horz" wrap="square" anchor="ctr" anchorCtr="1"/>
          <a:lstStyle/>
          <a:p>
            <a:pPr>
              <a:defRPr sz="1100" b="1" i="0" u="none" strike="noStrike" kern="1200" spc="70" baseline="0">
                <a:solidFill>
                  <a:schemeClr val="tx2"/>
                </a:solidFill>
                <a:latin typeface="Noto Sans SemBd" panose="020B0502040504020204" pitchFamily="34" charset="0"/>
                <a:ea typeface="Noto Sans SemBd" panose="020B0502040504020204" pitchFamily="34" charset="0"/>
                <a:cs typeface="Noto Sans SemBd" panose="020B0502040504020204" pitchFamily="34" charset="0"/>
              </a:defRPr>
            </a:pPr>
            <a:endParaRPr lang="en-US"/>
          </a:p>
        </c:txPr>
        <c:crossAx val="604850544"/>
        <c:crosses val="autoZero"/>
        <c:auto val="1"/>
        <c:lblAlgn val="ctr"/>
        <c:lblOffset val="100"/>
        <c:noMultiLvlLbl val="0"/>
      </c:catAx>
      <c:valAx>
        <c:axId val="60485054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2"/>
                </a:solidFill>
                <a:latin typeface="Noto Sans" panose="020B0502040504020204" pitchFamily="34" charset="0"/>
                <a:ea typeface="Noto Sans" panose="020B0502040504020204" pitchFamily="34" charset="0"/>
                <a:cs typeface="Noto Sans" panose="020B0502040504020204" pitchFamily="34" charset="0"/>
              </a:defRPr>
            </a:pPr>
            <a:endParaRPr lang="en-US"/>
          </a:p>
        </c:txPr>
        <c:crossAx val="6047457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spc="70" baseline="0">
              <a:solidFill>
                <a:schemeClr val="tx1"/>
              </a:solidFill>
              <a:latin typeface="Noto Sans" panose="020B0502040504020204" pitchFamily="34" charset="0"/>
              <a:ea typeface="Noto Sans" panose="020B0502040504020204" pitchFamily="34" charset="0"/>
              <a:cs typeface="Noto Sans" panose="020B050204050402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BSVA">
  <a:themeElements>
    <a:clrScheme name="BSVA">
      <a:dk1>
        <a:srgbClr val="000000"/>
      </a:dk1>
      <a:lt1>
        <a:srgbClr val="FFFFFF"/>
      </a:lt1>
      <a:dk2>
        <a:srgbClr val="2C2C30"/>
      </a:dk2>
      <a:lt2>
        <a:srgbClr val="EFF0F7"/>
      </a:lt2>
      <a:accent1>
        <a:srgbClr val="DAE3FF"/>
      </a:accent1>
      <a:accent2>
        <a:srgbClr val="1B1EA9"/>
      </a:accent2>
      <a:accent3>
        <a:srgbClr val="003FFF"/>
      </a:accent3>
      <a:accent4>
        <a:srgbClr val="003FFF"/>
      </a:accent4>
      <a:accent5>
        <a:srgbClr val="00E6FF"/>
      </a:accent5>
      <a:accent6>
        <a:srgbClr val="00E6FF"/>
      </a:accent6>
      <a:hlink>
        <a:srgbClr val="000000"/>
      </a:hlink>
      <a:folHlink>
        <a:srgbClr val="2C2D3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9525">
          <a:solidFill>
            <a:schemeClr val="accent2"/>
          </a:solidFill>
        </a:ln>
      </a:spPr>
      <a:bodyPr/>
      <a:lstStyle/>
      <a:style>
        <a:lnRef idx="2">
          <a:schemeClr val="accent1"/>
        </a:lnRef>
        <a:fillRef idx="0">
          <a:schemeClr val="accent1"/>
        </a:fillRef>
        <a:effectRef idx="1">
          <a:schemeClr val="accent1"/>
        </a:effectRef>
        <a:fontRef idx="minor">
          <a:schemeClr val="tx1"/>
        </a:fontRef>
      </a:style>
    </a:lnDef>
    <a:txDef>
      <a:spPr>
        <a:noFill/>
        <a:ln w="6350">
          <a:noFill/>
        </a:ln>
      </a:spPr>
      <a:bodyPr wrap="square" lIns="0" tIns="0" rIns="0" bIns="0" rtlCol="0" upright="1"/>
      <a:lstStyle/>
    </a:txDef>
  </a:objectDefaults>
  <a:extraClrSchemeLst/>
  <a:extLst>
    <a:ext uri="{05A4C25C-085E-4340-85A3-A5531E510DB2}">
      <thm15:themeFamily xmlns:thm15="http://schemas.microsoft.com/office/thememl/2012/main" name="BSVA" id="{7AFBE444-206A-6E4D-874A-9CC5A0F979A3}" vid="{1817CDD0-4489-CE43-B561-DA19786A034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581489b-2e9a-4353-af3e-80ab3e63c2b1">
      <Terms xmlns="http://schemas.microsoft.com/office/infopath/2007/PartnerControls"/>
    </lcf76f155ced4ddcb4097134ff3c332f>
    <TaxCatchAll xmlns="e710b220-1881-42a9-a703-89ec0bbaa8e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1D865BA56D3334C8B590043C68A9E13" ma:contentTypeVersion="12" ma:contentTypeDescription="Create a new document." ma:contentTypeScope="" ma:versionID="d47d1dbbd13073c35b2f30cc23b92763">
  <xsd:schema xmlns:xsd="http://www.w3.org/2001/XMLSchema" xmlns:xs="http://www.w3.org/2001/XMLSchema" xmlns:p="http://schemas.microsoft.com/office/2006/metadata/properties" xmlns:ns2="2581489b-2e9a-4353-af3e-80ab3e63c2b1" xmlns:ns3="e710b220-1881-42a9-a703-89ec0bbaa8e5" targetNamespace="http://schemas.microsoft.com/office/2006/metadata/properties" ma:root="true" ma:fieldsID="6702c31989b27b83cb2d8b429f00dfa2" ns2:_="" ns3:_="">
    <xsd:import namespace="2581489b-2e9a-4353-af3e-80ab3e63c2b1"/>
    <xsd:import namespace="e710b220-1881-42a9-a703-89ec0bbaa8e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81489b-2e9a-4353-af3e-80ab3e63c2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25a285-9df4-4903-a476-2bc7d05d588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10b220-1881-42a9-a703-89ec0bbaa8e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db6967-ff08-4075-b31b-30a90b6022d2}" ma:internalName="TaxCatchAll" ma:showField="CatchAllData" ma:web="e710b220-1881-42a9-a703-89ec0bbaa8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27D9A-7955-40EF-A71D-080A10BC3BCB}">
  <ds:schemaRefs>
    <ds:schemaRef ds:uri="http://schemas.microsoft.com/office/2006/metadata/properties"/>
    <ds:schemaRef ds:uri="http://schemas.microsoft.com/office/infopath/2007/PartnerControls"/>
    <ds:schemaRef ds:uri="2581489b-2e9a-4353-af3e-80ab3e63c2b1"/>
    <ds:schemaRef ds:uri="e710b220-1881-42a9-a703-89ec0bbaa8e5"/>
  </ds:schemaRefs>
</ds:datastoreItem>
</file>

<file path=customXml/itemProps2.xml><?xml version="1.0" encoding="utf-8"?>
<ds:datastoreItem xmlns:ds="http://schemas.openxmlformats.org/officeDocument/2006/customXml" ds:itemID="{5CCBBC7B-87F5-4963-BE52-5CD5017085FA}">
  <ds:schemaRefs>
    <ds:schemaRef ds:uri="http://schemas.microsoft.com/sharepoint/v3/contenttype/forms"/>
  </ds:schemaRefs>
</ds:datastoreItem>
</file>

<file path=customXml/itemProps3.xml><?xml version="1.0" encoding="utf-8"?>
<ds:datastoreItem xmlns:ds="http://schemas.openxmlformats.org/officeDocument/2006/customXml" ds:itemID="{3B22D7AE-C820-4846-ACF2-B31D99DE52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81489b-2e9a-4353-af3e-80ab3e63c2b1"/>
    <ds:schemaRef ds:uri="e710b220-1881-42a9-a703-89ec0bbaa8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CE24AE-EC81-FC42-8BAF-D33107B40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BSV Association Word template 2025.dotx</Template>
  <TotalTime>0</TotalTime>
  <Pages>11</Pages>
  <Words>1424</Words>
  <Characters>8122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BSV Association Word template 2025</vt:lpstr>
    </vt:vector>
  </TitlesOfParts>
  <Manager/>
  <Company>Bopper Media</Company>
  <LinksUpToDate>false</LinksUpToDate>
  <CharactersWithSpaces>9527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BSV Association Word template 2025</dc:title>
  <dc:subject/>
  <dc:creator>Carlos Blasco</dc:creator>
  <cp:keywords/>
  <dc:description/>
  <cp:lastModifiedBy>Carlos Bueno</cp:lastModifiedBy>
  <cp:revision>1</cp:revision>
  <cp:lastPrinted>2025-04-09T19:59:00Z</cp:lastPrinted>
  <dcterms:created xsi:type="dcterms:W3CDTF">2026-03-02T09:16:00Z</dcterms:created>
  <dcterms:modified xsi:type="dcterms:W3CDTF">2026-03-02T09:16:00Z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0x01010031D865BA56D3334C8B590043C68A9E13</vt:lpwstr>
  </property>
</Properties>
</file>