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49FC" w14:textId="77777777" w:rsidR="000E59D9" w:rsidRPr="00B71CE9" w:rsidRDefault="00224883" w:rsidP="00E52325">
      <w:pPr>
        <w:pStyle w:val="BSVACoverTitle"/>
        <w:spacing w:before="11000"/>
      </w:pPr>
      <w:r>
        <w:t>Decentralized Funding on the BSV Blockchain</w:t>
      </w:r>
    </w:p>
    <w:p w14:paraId="3A660CA8" w14:textId="77777777" w:rsidR="00C01C44" w:rsidRPr="00B71CE9" w:rsidRDefault="00C01C44" w:rsidP="00CF51C9">
      <w:pPr>
        <w:pStyle w:val="BSVACoverSubtitle"/>
      </w:pPr>
      <w:r>
        <w:t>On-Chain Enforcement Strategy</w:t>
      </w:r>
    </w:p>
    <w:p w14:paraId="78006723" w14:textId="77777777" w:rsidR="00CF51C9" w:rsidRPr="00B71CE9" w:rsidRDefault="009D7F24" w:rsidP="00BD2823">
      <w:pPr>
        <w:pStyle w:val="BSVACoverVersionDescription"/>
      </w:pPr>
      <w:r>
        <w:t>Version 1.0 — Strategy  ·  August 2026</w:t>
      </w:r>
    </w:p>
    <w:p w14:paraId="4281AF50" w14:textId="77777777" w:rsidR="00E40560" w:rsidRPr="00B71CE9" w:rsidRDefault="009D7F24" w:rsidP="00BD2823">
      <w:pPr>
        <w:pStyle w:val="BSVACoverDate"/>
      </w:pPr>
      <w:r>
        <w:t/>
      </w:r>
    </w:p>
    <w:p>
      <w:pPr>
        <w:pStyle w:val="Normal"/>
      </w:pPr>
      <w:r>
        <w:t>Grounded in DECISIONS.md ADR-024 through ADR-028, the packages/curve covenants, and prior research on UTXO concurrency and comparable decentralized crowdfunding protocols. This document is strategy input; ratified choices are logged in DECISIONS.md.</w:t>
      </w:r>
    </w:p>
    <w:p>
      <w:pPr>
        <w:pStyle w:val="Heading1"/>
      </w:pPr>
      <w:r>
        <w:t>1. Executive summary</w:t>
      </w:r>
    </w:p>
    <w:p>
      <w:pPr>
        <w:pStyle w:val="BSVAIntroduction"/>
      </w:pPr>
      <w:r>
        <w:t>The hard parts are already proven on the BSV Blockchain mainnet, in this repository. A keyless covenant that holds a real sats reserve, enforces immutable economic terms, and prices a bonding-curve buy with no operator signature is live (ADR-026, buy tx 6bcdbb97). A two-way curve whose holder balances live *inside* the covenant as a forgery-proof ledger — so nothing an attacker can fabricate can drain the reserve — is also live (ADR-027, buy ca6692f6 / sell 62ab6894, graduation built 16/16). The trustless assurance-contract intake (SIGHASH_ANYONECANPAY pledges, self-service refund, goal-gated withdraw to a fixed address) is specified and accepted (ADR-025). None of this needs to be re-derived; it needs to be assembled and wired.</w:t>
      </w:r>
    </w:p>
    <w:p>
      <w:pPr>
        <w:pStyle w:val="Normal"/>
      </w:pPr>
      <w:r>
        <w:t xml:space="preserve">There is exactly </w:t>
      </w:r>
      <w:r>
        <w:rPr>
          <w:b/>
        </w:rPr>
        <w:t>one</w:t>
      </w:r>
      <w:r>
        <w:t xml:space="preserve"> money-critical operation that bounded BSV Script cannot make trustless, and it is precise: </w:t>
      </w:r>
      <w:r>
        <w:rPr>
          <w:b/>
        </w:rPr>
        <w:t>selling a wallet-held token back to a shared reserve.</w:t>
      </w:r>
      <w:r>
        <w:t xml:space="preserve"> A covenant can bind a sibling input's *amount* (read it against hashPrevouts) but cannot verify a token's *ancestry/authenticity* — a forged STAS output is inert, but a forged AMM receipt sold back extracts real reserve sats and the drain transaction is script-valid (ADR-027). This wall bites </w:t>
      </w:r>
      <w:r>
        <w:rPr>
          <w:b/>
        </w:rPr>
        <w:t>only</w:t>
      </w:r>
      <w:r>
        <w:t xml:space="preserve"> on sell-back-to-reserve. Buying, contributing, refunding, claiming, fixed-price settlement, and the in-covenant-ledger sell are all trustless-able.</w:t>
      </w:r>
    </w:p>
    <w:p>
      <w:pPr>
        <w:pStyle w:val="Normal"/>
      </w:pPr>
      <w:r>
        <w:t xml:space="preserve">The decisive strategic observation for this brief: </w:t>
      </w:r>
      <w:r>
        <w:rPr>
          <w:b/>
        </w:rPr>
        <w:t>crowdfunding does not contain a sell-back.</w:t>
      </w:r>
      <w:r>
        <w:t xml:space="preserve"> Contribute → prove → refund-if-failed → claim-if-met needs no token returned to a reserve, so the entire launch/crowdfunding product sidesteps the one impossibility and can be made fully trustless. The bonding-curve AMM is the only product that touches the wall, and only on its sell side — where the repo already ships both escapes (in-covenant ledger, or wallet-STAS with an operator-gated, provenance-checked sell).</w:t>
      </w:r>
    </w:p>
    <w:p>
      <w:pPr>
        <w:pStyle w:val="BSVAQuote"/>
      </w:pPr>
      <w:r>
        <w:rPr>
          <w:b/>
        </w:rPr>
        <w:t>The honest one-liner:</w:t>
      </w:r>
      <w:r>
        <w:t xml:space="preserve"> *On the BSV Blockchain we can make raising, refunding, and claiming money fully trustless today; we can make buying on a bonding curve fully trustless today; the only thing we cannot make trustless is selling a wallet-held token back into a shared reserve — so we either keep the token inside the covenant (fully trustless, not wallet-portable until graduation) or hand out a real wallet token and gate its sell on an operator key we must protect.*</w:t>
      </w:r>
    </w:p>
    <w:p>
      <w:pPr>
        <w:pStyle w:val="Heading1"/>
      </w:pPr>
      <w:r>
        <w:t>2. Two products, two trust profiles</w:t>
      </w:r>
    </w:p>
    <w:p>
      <w:pPr>
        <w:pStyle w:val="Normal"/>
      </w:pPr>
      <w:r>
        <w:t>The brief describes what looks like one platform but is two products with materially different trust profiles. Keeping them separate is the single most clarifying design decision.</w:t>
      </w:r>
    </w:p>
    <w:p>
      <w:pPr>
        <w:pStyle w:val="Heading2"/>
      </w:pPr>
      <w:r>
        <w:t>Product A — Crowdfunding / launch (assurance contract) — fully trustless-able</w:t>
      </w:r>
    </w:p>
    <w:p>
      <w:pPr>
        <w:pStyle w:val="Normal"/>
      </w:pPr>
      <w:r>
        <w:t xml:space="preserve">All-or-nothing raise: goal, deadline, refund-if-failed, distribute-if-met. </w:t>
      </w:r>
      <w:r>
        <w:rPr>
          <w:b/>
        </w:rPr>
        <w:t>No sell-back exists in this product</w:t>
      </w:r>
      <w:r>
        <w:t>, so every money-critical operation is on-chain-enforceable. Two feasible forms:</w:t>
      </w:r>
    </w:p>
    <w:p>
      <w:pPr>
        <w:pStyle w:val="ListBullet"/>
      </w:pPr>
      <w:r>
        <w:rPr>
          <w:b/>
        </w:rPr>
        <w:t>A1 — ANYONECANPAY pledge aggregation (ADR-025):</w:t>
      </w:r>
      <w:r>
        <w:t xml:space="preserve"> contributors sign a SIGHASH_ANYONECANPAY|ALL (0xC1) pledge over a fixed target output and keep their own UTXO; nothing broadcasts until the goal is provably met. Refund = spend your own coin (a self-service double-spend, zero operator cooperation). Ships with only @bsv/sdk — no sCrypt toolchain. Passes the refund and no-rug-on-funds operator-disappears checks perfectly, but *prove-contribution* is only chain-visible after aggregation broadcasts, and *token claim* cannot ride the assurance transaction atomically (see §3).</w:t>
      </w:r>
    </w:p>
    <w:p>
      <w:pPr>
        <w:pStyle w:val="ListBullet"/>
      </w:pPr>
      <w:r>
        <w:rPr>
          <w:b/>
        </w:rPr>
        <w:t>A2 — Pooled accumulator covenant (extends ADR-027's machinery):</w:t>
      </w:r>
      <w:r>
        <w:t xml:space="preserve"> one evolving campaign UTXO carries raised in its own state plus an in-covenant contributor ledger (ownerPkh → amount). This is ledgerPool.ts minus the sell-back, so it dodges the forged-token impossibility entirely (there is no sell-to-reserve here). Contribution is an ADR-026-style covenant spend, so it is on-chain *immediately* (prove-contribution passes from the public ledger); raised lives in covenant state so *goal-met* is on-chain-checkable; refund is a signature-authorised self-service debit gated on raised &lt; goal past deadline; creator-withdraw fires only on raised &gt;= goal past deadline to a deploy-baked address. </w:t>
      </w:r>
      <w:r>
        <w:rPr>
          <w:b/>
        </w:rPr>
        <w:t>A2 passes all four operator-disappears checks.</w:t>
      </w:r>
    </w:p>
    <w:p>
      <w:pPr>
        <w:pStyle w:val="Heading2"/>
      </w:pPr>
      <w:r>
        <w:t>Product B — Continuous bonding-curve AMM — buy trustless; sell forks</w:t>
      </w:r>
    </w:p>
    <w:p>
      <w:pPr>
        <w:pStyle w:val="Normal"/>
      </w:pPr>
      <w:r>
        <w:t xml:space="preserve">Continuous price discovery, always-on liquidity. </w:t>
      </w:r>
      <w:r>
        <w:rPr>
          <w:b/>
        </w:rPr>
        <w:t>Buy is fully trustless today</w:t>
      </w:r>
      <w:r>
        <w:t xml:space="preserve"> (ADR-026 keyless covenant, price computed and enforced in-script, rounds against the taker so truncation can never drain the reserve). </w:t>
      </w:r>
      <w:r>
        <w:rPr>
          <w:b/>
        </w:rPr>
        <w:t>Sell hits the one wall</w:t>
      </w:r>
      <w:r>
        <w:t xml:space="preserve"> and forks into two accepted designs:</w:t>
      </w:r>
    </w:p>
    <w:p>
      <w:pPr>
        <w:pStyle w:val="ListBullet"/>
      </w:pPr>
      <w:r>
        <w:rPr>
          <w:b/>
        </w:rPr>
        <w:t>B-ledger (ADR-027) — fully trustless, no operator key:</w:t>
      </w:r>
      <w:r>
        <w:t xml:space="preserve"> holdings are in-covenant ledger entries proven by the holder's signature; no forgeable wallet token exists, so the reserve is drain-proof. Cost: tokens are not wallet-visible/portable STAS until a graduation step (built 16/16, not yet confirmed live), and the HashedMap/Merkle ledger is the single largest audit surface in the project.</w:t>
      </w:r>
    </w:p>
    <w:p>
      <w:pPr>
        <w:pStyle w:val="ListBullet"/>
      </w:pPr>
      <w:r>
        <w:rPr>
          <w:b/>
        </w:rPr>
        <w:t>B-optionB (ADR-028) — real wallet STAS, operator-gated sell:</w:t>
      </w:r>
      <w:r>
        <w:t xml:space="preserve"> buyers hold genuine wallet STAS; a sell runs the full back-to-genesis provenance walk off-chain (provenance.ts, fail-closed) before the operator co-signs. The covenant caps the payout to the curve so a malicious operator cannot *overpay* or *redirect* — only stall — but a </w:t>
      </w:r>
      <w:r>
        <w:rPr>
          <w:b/>
        </w:rPr>
        <w:t>compromised operator key drains the whole reserve</w:t>
      </w:r>
      <w:r>
        <w:t xml:space="preserve"> via forged sell-branch spends. This is the accepted trade for real wallet tokens; it is explicitly *not* the trustless default.</w:t>
      </w:r>
    </w:p>
    <w:p>
      <w:pPr>
        <w:pStyle w:val="Heading2"/>
      </w:pPr>
      <w:r>
        <w:t>Brief requirement → product mapping</w:t>
      </w:r>
    </w:p>
    <w:tbl>
      <w:tblPr>
        <w:tblStyle w:val="nChain"/>
        <w:tblW w:w="5000" w:type="pct"/>
        <w:tblLook w:val="04A0" w:firstRow="1" w:lastRow="0" w:firstColumn="1" w:lastColumn="0" w:noHBand="0" w:noVBand="1"/>
      </w:tblPr>
      <w:tblGrid>
        <w:gridCol w:w="3353"/>
        <w:gridCol w:w="2170"/>
        <w:gridCol w:w="2170"/>
        <w:gridCol w:w="2170"/>
      </w:tblGrid>
      <w:tr>
        <w:trPr>
          <w:cnfStyle w:val="100000000000" w:firstRow="1"/>
          <w:trHeight w:val="432"/>
        </w:trPr>
        <w:tc>
          <w:tcPr>
            <w:cnfStyle w:val="001000000000" w:firstColumn="1"/>
            <w:tcW w:w="1700" w:type="pct"/>
            <w:vAlign w:val="center"/>
          </w:tcPr>
          <w:p>
            <w:pPr>
              <w:pStyle w:val="BSVATableHeader"/>
            </w:pPr>
            <w:r>
              <w:t>Brief requirement (MUST be on-chain)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Product A (launch)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Product B (curve)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Status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Fund custody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A1: self-custodial pledge · A2: covenant reserve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Covenant reserve = the UTXO's sats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Core economic terms (goal, price/model, supply)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A2: readonly params + raised state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readonly k, readonly supply (linearCurvePool.ts L34-38)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(curve) / A2 needs-R&amp;D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Deadline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A1 app-level (safe, self-custodial) · A2 nLockTime-in-preimage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nLockTime-in-preimage / CLTV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needs-R&amp;D (unbuilt as covenant)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Token distribution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A2 ledger→graduation mint · A1 operator-delivered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B-ledger graduation mint · B-optionB TX-B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(ledger) / operator-delivered otherwise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Refund conditions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A1 self-service double-spend · A2 ledger debit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n/a (curve has no refund; it has sell)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(A1) / A2 needs-R&amp;D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Creator-withdrawal conditions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A2 goal-gated to fixed payoutPkh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graduate() to baked payoutPkh (ledgerPool.ts L119-124)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Covenants preventing arbitrary rule changes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readonly @props; successor must re-lock same template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same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Milestone *release* (evidence off-chain)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oracle-sig / preimage / timelock branch (unbuilt)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same pattern as stasCurvePool.sell operator gate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needs-R&amp;D</w:t>
            </w:r>
          </w:p>
        </w:tc>
      </w:tr>
    </w:tbl>
    <w:p>
      <w:pPr>
        <w:pStyle w:val="Normal"/>
      </w:pPr>
    </w:p>
    <w:p>
      <w:pPr>
        <w:pStyle w:val="Heading1"/>
      </w:pPr>
      <w:r>
        <w:t>3. Feasibility matrix</w:t>
      </w:r>
    </w:p>
    <w:p>
      <w:pPr>
        <w:pStyle w:val="Normal"/>
      </w:pPr>
      <w:r>
        <w:t>today = proven or directly buildable on deployed primitives. needs-R&amp;D = buildable on proven opcodes/patterns but not yet built/audited here. infeasible = a hard bounded-Script limit, not an effort gap.</w:t>
      </w:r>
    </w:p>
    <w:tbl>
      <w:tblPr>
        <w:tblStyle w:val="nChain"/>
        <w:tblW w:w="5000" w:type="pct"/>
        <w:tblLook w:val="04A0" w:firstRow="1" w:lastRow="0" w:firstColumn="1" w:lastColumn="0" w:noHBand="0" w:noVBand="1"/>
      </w:tblPr>
      <w:tblGrid>
        <w:gridCol w:w="3353"/>
        <w:gridCol w:w="2170"/>
        <w:gridCol w:w="2170"/>
        <w:gridCol w:w="2170"/>
      </w:tblGrid>
      <w:tr>
        <w:trPr>
          <w:cnfStyle w:val="100000000000" w:firstRow="1"/>
          <w:trHeight w:val="432"/>
        </w:trPr>
        <w:tc>
          <w:tcPr>
            <w:cnfStyle w:val="001000000000" w:firstColumn="1"/>
            <w:tcW w:w="1700" w:type="pct"/>
            <w:vAlign w:val="center"/>
          </w:tcPr>
          <w:p>
            <w:pPr>
              <w:pStyle w:val="BSVATableHeader"/>
            </w:pPr>
            <w:r>
              <w:t>Operation / model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Enforceable on-chain today?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Operator-disappears result (chain + wallet only)</w:t>
            </w:r>
          </w:p>
        </w:tc>
        <w:tc>
          <w:tcPr>
            <w:tcW w:w="1100" w:type="pct"/>
            <w:vAlign w:val="center"/>
          </w:tcPr>
          <w:p>
            <w:pPr>
              <w:pStyle w:val="BSVATableHeader"/>
            </w:pPr>
            <w:r>
              <w:t>Worst-case risk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Fund custody — curve reserve (ADR-026/028)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reserve *is* this.ctx.utxo.value, no custodian key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Reserve stays locked in-covenant, spendable only via covenant branches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Preimage-parse / state-rewrite / OP_NUM2BIN width bug = permanently drainable reserve → external audit mandatory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Fund custody — A1 pledge (ADR-025)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— funds never leave the contributor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Contributor keeps 100%; nothing to abscond with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None (self-custody); pledge key loss is a UX risk only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Immutable economic terms — supply, price slope, model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readonly @props + verify-an-inequality (rounds toward pool)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Terms are the script; a changed rule is a different UTXO the buyer rejects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State-int width-boundary bug (bit once, fixed 2026-08-04) — width encoding is the sharp edge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On-chain deadline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needs-R&amp;D — nLockTime is in the BIP-143 preimage the covenant already parses; not yet read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A1 is safe app-level (self-custodial); A2 needs the covenant timelock built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Covenant that reads nLockTime but not nSequence (&lt; 0xFFFFFFFF) is bypassable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Refund-if-goal-unmet — A1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self-service double-spend of own pledge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Refund with only chain + wallet — the strongest cell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None; pledges must be subset-composable to exact target (fixed denominations)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Refund-if-goal-unmet — A2 pooled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needs-R&amp;D — ledgerPool.sell-shaped refund(pkh,sig,proof) gated on raised &lt; goal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Pure self-service; no operator liveness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Inherits HashedMap audit surface; needs the deadline primitive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Creator-withdraw only if goal met, fixed destination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graduate() asserts goal then pays baked payoutPkh, no signature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Anyone can push graduation once goal met; creator cannot redirect or exit early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Vesting/partial-release caps beyond all-or-nothing are needs-R&amp;D (compose CLTV branches)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Token distribution — in-covenant ledger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— holders minted real STAS from final ledger at graduation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Holder proves entry by signature; a stalled operator only delays the mint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Merkle/HashedMap audit surface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Token distribution — classic STAS inside assurance tx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infeasible — token input must SIGHASH_ALL over an output set unknowable while pledges roll in (ADR-025)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Paid-but-undelivered if operator vanishes post-funding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Operator can stall (liveness), cannot mis-deliver (buyer SIGHASH_ALL + covenant cap bound it)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Bonding-curve BUY (ADR-026)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— keyless, price enforced in-script, live tx 6bcdbb97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Buys work *if* a client self-assembles against the current pool outpoint (needs-R&amp;D UI)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Censorship/stall only — never mis-price or drain (rounds against buyer)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Bonding-curve SELL — B-ledger (ADR-027)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signature + inclusion-proof, no operator key, live sell 62ab6894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Passes all four checks; a stuck operator only stalls sequencing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Largest audit surface; tokens not wallet-portable until graduation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Bonding-curve SELL — B-optionB (ADR-028)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(hybrid) — covenant caps payout; operator co-signs after provenance walk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Fails the sell check: without the operator co-sign, tokens are stranded, reserve frozen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Compromised operator key drains the entire reserve → HSM-grade key custody required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Wallet-held token authenticity check in-script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infeasible — ancestry not checkable in bounded Script (STAS/DSTAS delegate to an off-chain indexer)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—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 forged receipt sold back drains real sats; the drain tx is script-valid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Milestone RELEASE (proof exists)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needs-R&amp;D — checkSig-against-baked-oracle-pubkey / hash-preimage / timelock branch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If attestor vanishes, milestone funds stick → pair every milestone lock with an nLockTime refund escape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Attestor is an unavoidable trust anchor; a leaked oracle key releases on a forged proof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Fixed-price presale (existing instant_swap)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today — degenerate curve (constant unit price), same inequality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Intake/refund trustless via A1; delivery operator-signed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No new covenant risk beyond delivery liveness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Dutch auction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needs-R&amp;D — price = f(block height) via nLockTime/CLTV in preimage; shardable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Per-buyer fill independent if paid as self-custodied pledge (inherits A1 refund)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Net-new covenant = new audit surface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700" w:type="pct"/>
            <w:shd w:val="clear" w:color="auto" w:fill="EFF0F7" w:themeFill="background2"/>
          </w:tcPr>
          <w:p>
            <w:pPr>
              <w:pStyle w:val="BSVATableText"/>
            </w:pPr>
            <w:r>
              <w:t>Batch / uniform-clearing auction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needs-R&amp;D (clearing) — bids are ANYONECANPAY pledges (trustless intake/refund); clearing price operator-computed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Bidders reclaim pledges trustlessly; auction may simply not clear</w:t>
            </w:r>
          </w:p>
        </w:tc>
        <w:tc>
          <w:tcPr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Operator could compute an unfair clear → publish all bids so anyone can recompute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700" w:type="pct"/>
          </w:tcPr>
          <w:p>
            <w:pPr>
              <w:pStyle w:val="BSVATableText"/>
            </w:pPr>
            <w:r>
              <w:t>Time-based vesting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today — CLTV tranches, each an independent UTXO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Tranches release on schedule regardless of operator</w:t>
            </w:r>
          </w:p>
        </w:tc>
        <w:tc>
          <w:tcPr>
            <w:tcW w:w="1100" w:type="pct"/>
          </w:tcPr>
          <w:p>
            <w:pPr>
              <w:pStyle w:val="BSVATableText"/>
            </w:pPr>
            <w:r>
              <w:t>Milestone-based vesting inherits attestor trust</w:t>
            </w:r>
          </w:p>
        </w:tc>
      </w:tr>
    </w:tbl>
    <w:p>
      <w:pPr>
        <w:pStyle w:val="Normal"/>
      </w:pPr>
    </w:p>
    <w:p>
      <w:pPr>
        <w:pStyle w:val="Heading1"/>
      </w:pPr>
      <w:r>
        <w:t>4. Trust boundaries</w:t>
      </w:r>
    </w:p>
    <w:p>
      <w:pPr>
        <w:pStyle w:val="Normal"/>
      </w:pPr>
      <w:r>
        <w:t>On-chain-enforced components are the authority for anything that can lose, lock, or misdistribute funds. Off-chain components compute, index, and improve UX — never a required authority to execute the protocol.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0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1 — Trust boundaries: on-chain enforced authority vs off-chain advisory.</w:t>
      </w:r>
    </w:p>
    <w:p>
      <w:pPr>
        <w:pStyle w:val="Heading1"/>
      </w:pPr>
      <w:r>
        <w:t>5. Transaction flows</w:t>
      </w:r>
    </w:p>
    <w:p>
      <w:pPr>
        <w:pStyle w:val="Heading2"/>
      </w:pPr>
      <w:r>
        <w:t>5(a) — Trustless assurance contract: contribute → refund-if-failed → claim-if-met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29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2 — Assurance contract: contribute, refund-if-failed, claim-if-met.</w:t>
      </w:r>
    </w:p>
    <w:p>
      <w:pPr>
        <w:pStyle w:val="Heading2"/>
      </w:pPr>
      <w:r>
        <w:t>5(b) — Trustless bonding-curve BUY (ADR-026, no operator signature)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70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3 — Trustless bonding-curve buy (ADR-026), no operator signature.</w:t>
      </w:r>
    </w:p>
    <w:p>
      <w:pPr>
        <w:pStyle w:val="Heading2"/>
      </w:pPr>
      <w:r>
        <w:t>5(c) — Curve SELL: B-ledger (trustless) vs B-optionB (operator-gated) side by side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2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4a — Curve sell, B-ledger (ADR-027): fully trustless, no operator key.</w:t>
      </w:r>
    </w:p>
    <w:p>
      <w:pPr>
        <w:pStyle w:val="Normal"/>
      </w:pPr>
      <w:r>
        <w:t>_B-ledger (ADR-027) — fully trustless._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5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4b — Curve sell, Option B (ADR-028): operator-gated wallet-STAS.</w:t>
      </w:r>
    </w:p>
    <w:p>
      <w:pPr>
        <w:pStyle w:val="Heading1"/>
      </w:pPr>
      <w:r>
        <w:t>6. State machines</w:t>
      </w:r>
    </w:p>
    <w:p>
      <w:pPr>
        <w:pStyle w:val="Heading2"/>
      </w:pPr>
      <w:r>
        <w:t>Assurance-contract campaign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1499" cy="6583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1499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5 — Assurance-contract campaign lifecycle.</w:t>
      </w:r>
    </w:p>
    <w:p>
      <w:pPr>
        <w:pStyle w:val="Heading2"/>
      </w:pPr>
      <w:r>
        <w:t>Bonding-curve pool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2364" cy="658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236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i/>
        </w:rPr>
        <w:t>Figure 6 — Bonding-curve pool lifecycle.</w:t>
      </w:r>
    </w:p>
    <w:p>
      <w:pPr>
        <w:pStyle w:val="Heading1"/>
      </w:pPr>
      <w:r>
        <w:t>7. Scale strategy</w:t>
      </w:r>
    </w:p>
    <w:p>
      <w:pPr>
        <w:pStyle w:val="Normal"/>
      </w:pPr>
      <w:r>
        <w:t xml:space="preserve">This reconciles with docs/research/UTXO-CONCURRENCY-PATTERNS.md, which recommends UTXO sharding (its Pattern 1) for 10-25 concurrent contributions. That recommendation stands — but it must be </w:t>
      </w:r>
      <w:r>
        <w:rPr>
          <w:b/>
        </w:rPr>
        <w:t>scoped</w:t>
      </w:r>
      <w:r>
        <w:t>, because the prior file did not distinguish fee-fuel sharding from price-covenant sharding, and conflating them would be money-critical.</w:t>
      </w:r>
    </w:p>
    <w:p>
      <w:pPr>
        <w:pStyle w:val="Normal"/>
      </w:pPr>
      <w:r>
        <w:rPr>
          <w:b/>
        </w:rPr>
        <w:t>Base case is already solved — build nothing new.</w:t>
      </w:r>
      <w:r>
        <w:t xml:space="preserve"> The brief's stated load is 20-30 projects × ~6k-10k each, mostly few contributors, project isolation the priority. One covenant per project already yields 20-30 independent serial ancestor chains (Pattern 3, "already implemented — no code change needed"). "Few contributors" never approaches the 25-unconfirmed-ancestor wall, and the deployed optimistic-outpoint retry (recordCurveBuy / recordStasBuy) resolves the rare 2-3 concurrent collisions per project in sub-second rebuilds. </w:t>
      </w:r>
      <w:r>
        <w:rPr>
          <w:b/>
        </w:rPr>
        <w:t>Project isolation is the primary axis and it is free.</w:t>
      </w:r>
    </w:p>
    <w:p>
      <w:pPr>
        <w:pStyle w:val="Normal"/>
      </w:pPr>
      <w:r>
        <w:rPr>
          <w:b/>
        </w:rPr>
        <w:t>What sharding is FOR, and what it must NOT touch.</w:t>
      </w:r>
      <w:r>
        <w:t xml:space="preserve"> Pre-splitting into N shards is correct and endorsed for two things only:</w:t>
      </w:r>
    </w:p>
    <w:p>
      <w:pPr>
        <w:pStyle w:val="ListBullet"/>
      </w:pPr>
      <w:r>
        <w:rPr>
          <w:b/>
        </w:rPr>
        <w:t>Operator fee-fuel UTXOs</w:t>
      </w:r>
      <w:r>
        <w:t xml:space="preserve"> — the sats that pay miner fees and fund delivery TX-B; these carry no evolving price, so sharding them just prevents the operator's own fee chain from hitting 25 ancestors during a burst (getOperatorBaseUtxos already selects the lowest-unconfirmed-depth base).</w:t>
      </w:r>
    </w:p>
    <w:p>
      <w:pPr>
        <w:pStyle w:val="ListBullet"/>
      </w:pPr>
      <w:r>
        <w:rPr>
          <w:b/>
        </w:rPr>
        <w:t>Fixed-price inventory</w:t>
      </w:r>
      <w:r>
        <w:t xml:space="preserve"> — constant unit price means K parallel inventory UTXOs are independent with no reconciliation.</w:t>
      </w:r>
    </w:p>
    <w:p>
      <w:pPr>
        <w:pStyle w:val="Normal"/>
      </w:pPr>
      <w:r>
        <w:rPr>
          <w:b/>
        </w:rPr>
        <w:t>A bonding-curve price covenant is fundamentally un-shardable.</w:t>
      </w:r>
      <w:r>
        <w:t xml:space="preserve"> Price = f(sold) is endogenous cumulative state. Split it into K reserve UTXOs and you get K parallel *cheaper* sub-curves (monotonicity break), and reconciling a global sold across shards is impossible in bounded Script (no global mutable state). Applying Pattern 1 to the *price* covenant lets an arbitrageur buy the low end of every shard simultaneously and systematically underprice the project — an economic-terms integrity failure. </w:t>
      </w:r>
      <w:r>
        <w:rPr>
          <w:b/>
        </w:rPr>
        <w:t>Do not shard the curve price covenant.</w:t>
      </w:r>
    </w:p>
    <w:p>
      <w:pPr>
        <w:pStyle w:val="Normal"/>
      </w:pPr>
      <w:r>
        <w:rPr>
          <w:b/>
        </w:rPr>
        <w:t>The correct viral-edge lever for a hot curve is BATCH SETTLEMENT — and it needs zero covenant change.</w:t>
      </w:r>
      <w:r>
        <w:t xml:space="preserve"> Because curveCost(k, S, ΣΔ) is the exact curve integral, N buys totaling ΣΔ price identically to one buy of ΣΔ; the operator collapses a burst into one covenant hop (S → S+ΣΔ) that prices every unit at its correct marginal position. Trustless pricing is preserved and the reserve stays undrainable (the covenant caps the aggregate cost). The cost is operator-attested *intra-batch fills* — a strict subset of ADR-028's already-accepted operator sequencing/delivery trust. Note the boundary: batching a *keyless* trustless buy sacrifices the per-buyer SIGHASH_ALL anti-shortchange gate (a covenant Merkle-root-of-orders binds amounts, not consent), so </w:t>
      </w:r>
      <w:r>
        <w:rPr>
          <w:b/>
        </w:rPr>
        <w:t>keep batching for the operator-gated STAS variant</w:t>
      </w:r>
      <w:r>
        <w:t xml:space="preserve"> and keep the pure-trustless curve un-batched behind retry.</w:t>
      </w:r>
    </w:p>
    <w:p>
      <w:pPr>
        <w:pStyle w:val="Normal"/>
      </w:pPr>
      <w:r>
        <w:rPr>
          <w:b/>
        </w:rPr>
        <w:t>Steer viral-expecting projects to shard-friendly models.</w:t>
      </w:r>
      <w:r>
        <w:t xml:space="preserve"> Fixed-price presale (already shipped as instant_swap; constant price, inventory pre-splittable) and batch/uniform-clearing auctions (no evolving on-chain state during bidding — bids are ANYONECANPAY pledges, ADR-025) are the most contention-immune. A Dutch auction is shardable because its price is a function of block height, not sold, so K inventory UTXOs compute an identical price with zero cross-shard state.</w:t>
      </w:r>
    </w:p>
    <w:p>
      <w:pPr>
        <w:pStyle w:val="Normal"/>
      </w:pPr>
      <w:r>
        <w:rPr>
          <w:b/>
        </w:rPr>
        <w:t>What is premature right now:</w:t>
      </w:r>
      <w:r>
        <w:t xml:space="preserve"> UTXO sharding of anything at year-1 scale (project isolation already covers it); batch-settlement plumbing (design it, do not build it until observed load triggers it); merkle-state overlay settlement (UTXO-CONCURRENCY-PATTERNS.md Pattern 4 — a 3-6 month build for a sub-1% gain over sharding, DEX-scale only).</w:t>
      </w:r>
    </w:p>
    <w:p>
      <w:pPr>
        <w:pStyle w:val="Heading1"/>
      </w:pPr>
      <w:r>
        <w:t>8. Recommended phased roadmap</w:t>
      </w:r>
    </w:p>
    <w:p>
      <w:pPr>
        <w:pStyle w:val="Normal"/>
      </w:pPr>
      <w:r>
        <w:t xml:space="preserve">The strategy is </w:t>
      </w:r>
      <w:r>
        <w:rPr>
          <w:b/>
        </w:rPr>
        <w:t>reuse the proven primitives, own the assembly.</w:t>
      </w:r>
      <w:r>
        <w:t xml:space="preserve"> External survey found no production BSV token launchpad — the moat is integration and audit, not primitive invention. Lead with the one missing trustless primitive; position operator-assisted paths as explicitly-labelled convenience variants, never the default.</w:t>
      </w:r>
    </w:p>
    <w:p>
      <w:pPr>
        <w:pStyle w:val="Heading2"/>
      </w:pPr>
      <w:r>
        <w:t>Phase 0 — Ship the trustless launch intake (weeks)</w:t>
      </w:r>
    </w:p>
    <w:p>
      <w:pPr>
        <w:pStyle w:val="ListBullet"/>
      </w:pPr>
      <w:r>
        <w:rPr>
          <w:b/>
        </w:rPr>
        <w:t>Build:</w:t>
      </w:r>
      <w:r>
        <w:t xml:space="preserve"> wire ADR-025 A1 pledges as the fixed-price presale intake. Only @bsv/sdk (0xC1 preimage, wallet.createSignature({ hashToDirectlySign }), no broadcast). Public pledge registry as advisory index.</w:t>
      </w:r>
    </w:p>
    <w:p>
      <w:pPr>
        <w:pStyle w:val="ListBullet"/>
      </w:pPr>
      <w:r>
        <w:rPr>
          <w:b/>
        </w:rPr>
        <w:t>Delivers:</w:t>
      </w:r>
      <w:r>
        <w:t xml:space="preserve"> trustless fund custody + trustless refund (self-service double-spend) with zero new toolchain. This is build-order item (1), "fixed-price presale first," made genuinely trustless on intake/refund. Delivery remains operator-signed (labelled honestly as liveness-soft, never misdistribution-soft).</w:t>
      </w:r>
    </w:p>
    <w:p>
      <w:pPr>
        <w:pStyle w:val="Heading2"/>
      </w:pPr>
      <w:r>
        <w:t>Phase 1 — Wire the proven trustless BUY (weeks)</w:t>
      </w:r>
    </w:p>
    <w:p>
      <w:pPr>
        <w:pStyle w:val="ListBullet"/>
      </w:pPr>
      <w:r>
        <w:rPr>
          <w:b/>
        </w:rPr>
        <w:t>Build:</w:t>
      </w:r>
      <w:r>
        <w:t xml:space="preserve"> the client that resolves the latest pool outpoint (overlay LookupResolver / SPV-carrying BEEF) and assembles an ADR-026 buy </w:t>
      </w:r>
      <w:r>
        <w:rPr>
          <w:b/>
        </w:rPr>
        <w:t>without the operator backend</w:t>
      </w:r>
      <w:r>
        <w:t xml:space="preserve"> — the remaining work is UI + outpoint resolution, not new Script. Keep the optimistic-outpoint retry.</w:t>
      </w:r>
    </w:p>
    <w:p>
      <w:pPr>
        <w:pStyle w:val="ListBullet"/>
      </w:pPr>
      <w:r>
        <w:rPr>
          <w:b/>
        </w:rPr>
        <w:t>Delivers:</w:t>
      </w:r>
      <w:r>
        <w:t xml:space="preserve"> the brief's ~Level-4 primary target — any frontend can trigger a decentralized buy, next price computed and enforced on-chain, no operator. Covenant already proven live (6bcdbb97).</w:t>
      </w:r>
    </w:p>
    <w:p>
      <w:pPr>
        <w:pStyle w:val="Heading2"/>
      </w:pPr>
      <w:r>
        <w:t>Phase 2 — Build the trustless assurance-accumulator covenant (the missing primitive)</w:t>
      </w:r>
    </w:p>
    <w:p>
      <w:pPr>
        <w:pStyle w:val="ListBullet"/>
      </w:pPr>
      <w:r>
        <w:rPr>
          <w:b/>
        </w:rPr>
        <w:t>Build:</w:t>
      </w:r>
      <w:r>
        <w:t xml:space="preserve"> A2 — the pooled accumulator from ledgerPool.ts minus the sell-back: raised in covenant state, contributor ledger, refund(pkh,sig,proof) gated on raised &lt; goal, graduate()-style withdraw to a baked payoutPkh on raised &gt;= goal. Add the </w:t>
      </w:r>
      <w:r>
        <w:rPr>
          <w:b/>
        </w:rPr>
        <w:t>on-chain deadline</w:t>
      </w:r>
      <w:r>
        <w:t xml:space="preserve"> primitive (read nLockTime from the pushed BIP-143 preimage; pin nSequence &lt; 0xFFFFFFFF).</w:t>
      </w:r>
    </w:p>
    <w:p>
      <w:pPr>
        <w:pStyle w:val="ListBullet"/>
      </w:pPr>
      <w:r>
        <w:rPr>
          <w:b/>
        </w:rPr>
        <w:t>Delivers:</w:t>
      </w:r>
      <w:r>
        <w:t xml:space="preserve"> the only design where </w:t>
      </w:r>
      <w:r>
        <w:rPr>
          <w:b/>
        </w:rPr>
        <w:t>all four operator-disappears checks pass</w:t>
      </w:r>
      <w:r>
        <w:t xml:space="preserve"> — closes A1's two gaps (on-chain prove, on-chain claim/no-delivery-rug). This is the fixed-price presale made *truly* on-chain and it shares the curve's toolchain.</w:t>
      </w:r>
    </w:p>
    <w:p>
      <w:pPr>
        <w:pStyle w:val="Heading2"/>
      </w:pPr>
      <w:r>
        <w:t>Phase 3 — Bonding-curve SELL, trustless-first</w:t>
      </w:r>
    </w:p>
    <w:p>
      <w:pPr>
        <w:pStyle w:val="ListBullet"/>
      </w:pPr>
      <w:r>
        <w:rPr>
          <w:b/>
        </w:rPr>
        <w:t>Build (default):</w:t>
      </w:r>
      <w:r>
        <w:t xml:space="preserve"> B-ledger (ADR-027) as the flagship two-way curve — trustless sell, no operator key, live buy/sell already demonstrated. Confirm the graduation mint live on mainnet.</w:t>
      </w:r>
    </w:p>
    <w:p>
      <w:pPr>
        <w:pStyle w:val="ListBullet"/>
      </w:pPr>
      <w:r>
        <w:rPr>
          <w:b/>
        </w:rPr>
        <w:t>Build (labelled variant):</w:t>
      </w:r>
      <w:r>
        <w:t xml:space="preserve"> B-optionB (ADR-028) offered explicitly as </w:t>
      </w:r>
      <w:r>
        <w:rPr>
          <w:b/>
        </w:rPr>
        <w:t>"instant liquidity — operator-assisted"</w:t>
      </w:r>
      <w:r>
        <w:t>, never the default: real wallet STAS, sell gated on the fail-closed provenance walk, covenant-capped payout. Ship it with the operator-key-security requirements from §9 front-and-centre.</w:t>
      </w:r>
    </w:p>
    <w:p>
      <w:pPr>
        <w:pStyle w:val="Heading2"/>
      </w:pPr>
      <w:r>
        <w:t>Phase 4 — Alternative models + scale levers (on demand)</w:t>
      </w:r>
    </w:p>
    <w:p>
      <w:pPr>
        <w:pStyle w:val="ListBullet"/>
      </w:pPr>
      <w:r>
        <w:rPr>
          <w:b/>
        </w:rPr>
        <w:t>Build when a project needs it:</w:t>
      </w:r>
      <w:r>
        <w:t xml:space="preserve"> Dutch auction (block-height price covenant), batch/uniform-clearing auction (ANYONECANPAY intake + operator-published clearing anyone can recompute), time-based vesting (CLTV tranches). Design batch-settlement for hot curves now; build it only when observed load triggers it. Fee-fuel and fixed-price inventory sharding per UTXO-CONCURRENCY-PATTERNS.md Pattern 1 — </w:t>
      </w:r>
      <w:r>
        <w:rPr>
          <w:b/>
        </w:rPr>
        <w:t>never the curve price covenant.</w:t>
      </w:r>
    </w:p>
    <w:p>
      <w:pPr>
        <w:pStyle w:val="Heading1"/>
      </w:pPr>
      <w:r>
        <w:t>9. Risk assessment</w:t>
      </w:r>
    </w:p>
    <w:p>
      <w:pPr>
        <w:pStyle w:val="Heading2"/>
      </w:pPr>
      <w:r>
        <w:t>Operator-disappears, per model (chain + wallet only)</w:t>
      </w:r>
    </w:p>
    <w:tbl>
      <w:tblPr>
        <w:tblStyle w:val="nChain"/>
        <w:tblW w:w="5000" w:type="pct"/>
        <w:tblLook w:val="04A0" w:firstRow="1" w:lastRow="0" w:firstColumn="1" w:lastColumn="0" w:noHBand="0" w:noVBand="1"/>
      </w:tblPr>
      <w:tblGrid>
        <w:gridCol w:w="2170"/>
        <w:gridCol w:w="1578"/>
        <w:gridCol w:w="1578"/>
        <w:gridCol w:w="1578"/>
        <w:gridCol w:w="1479"/>
        <w:gridCol w:w="1479"/>
      </w:tblGrid>
      <w:tr>
        <w:trPr>
          <w:cnfStyle w:val="100000000000" w:firstRow="1"/>
          <w:trHeight w:val="432"/>
        </w:trPr>
        <w:tc>
          <w:tcPr>
            <w:cnfStyle w:val="001000000000" w:firstColumn="1"/>
            <w:tcW w:w="1100" w:type="pct"/>
            <w:vAlign w:val="center"/>
          </w:tcPr>
          <w:p>
            <w:pPr>
              <w:pStyle w:val="BSVATableHeader"/>
            </w:pPr>
            <w:r>
              <w:t>Model</w:t>
            </w:r>
          </w:p>
        </w:tc>
        <w:tc>
          <w:tcPr>
            <w:tcW w:w="800" w:type="pct"/>
            <w:vAlign w:val="center"/>
          </w:tcPr>
          <w:p>
            <w:pPr>
              <w:pStyle w:val="BSVATableHeader"/>
            </w:pPr>
            <w:r>
              <w:t>Contribute/Buy</w:t>
            </w:r>
          </w:p>
        </w:tc>
        <w:tc>
          <w:tcPr>
            <w:tcW w:w="800" w:type="pct"/>
            <w:vAlign w:val="center"/>
          </w:tcPr>
          <w:p>
            <w:pPr>
              <w:pStyle w:val="BSVATableHeader"/>
            </w:pPr>
            <w:r>
              <w:t>Refund</w:t>
            </w:r>
          </w:p>
        </w:tc>
        <w:tc>
          <w:tcPr>
            <w:tcW w:w="800" w:type="pct"/>
            <w:vAlign w:val="center"/>
          </w:tcPr>
          <w:p>
            <w:pPr>
              <w:pStyle w:val="BSVATableHeader"/>
            </w:pPr>
            <w:r>
              <w:t>Claim tokens</w:t>
            </w:r>
          </w:p>
        </w:tc>
        <w:tc>
          <w:tcPr>
            <w:tcW w:w="750" w:type="pct"/>
            <w:vAlign w:val="center"/>
          </w:tcPr>
          <w:p>
            <w:pPr>
              <w:pStyle w:val="BSVATableHeader"/>
            </w:pPr>
            <w:r>
              <w:t>Creator can't rug</w:t>
            </w:r>
          </w:p>
        </w:tc>
        <w:tc>
          <w:tcPr>
            <w:tcW w:w="750" w:type="pct"/>
            <w:vAlign w:val="center"/>
          </w:tcPr>
          <w:p>
            <w:pPr>
              <w:pStyle w:val="BSVATableHeader"/>
            </w:pPr>
            <w:r>
              <w:t>Verdict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A1 assurance presale (ADR-025)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after aggregation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pass (double-spend)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fail (delivery operator-signed)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pass (funds self-custodial)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strongest refund; delivery liveness-soft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100" w:type="pct"/>
          </w:tcPr>
          <w:p>
            <w:pPr>
              <w:pStyle w:val="BSVATableText"/>
            </w:pPr>
            <w:r>
              <w:t>A2 pooled accumulator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pass (covenant ledger)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pass (ledger debit)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pass (ledger→graduation mint)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pass (raised-gated to fixed addr)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all four pass — the trustless core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Curve BUY (ADR-026)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pass if client self-assembles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n/a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n/a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pass (keyless, capped)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trustless; censorship/stall only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100" w:type="pct"/>
          </w:tcPr>
          <w:p>
            <w:pPr>
              <w:pStyle w:val="BSVATableText"/>
            </w:pPr>
            <w:r>
              <w:t>B-ledger SELL (ADR-027)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pass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n/a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pass (sig + proof)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pass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trustless; not wallet-portable pre-graduation</w:t>
            </w:r>
          </w:p>
        </w:tc>
      </w:tr>
      <w:tr>
        <w:trPr>
          <w:cnfStyle w:val="000000100000" w:oddHBand="1"/>
          <w:trHeight w:val="300"/>
        </w:trPr>
        <w:tc>
          <w:tcPr>
            <w:cnfStyle w:val="001000000000" w:firstColumn="1"/>
            <w:tcW w:w="1100" w:type="pct"/>
            <w:shd w:val="clear" w:color="auto" w:fill="EFF0F7" w:themeFill="background2"/>
          </w:tcPr>
          <w:p>
            <w:pPr>
              <w:pStyle w:val="BSVATableText"/>
            </w:pPr>
            <w:r>
              <w:t>B-optionB SELL (ADR-028)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pass (buy)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fail (no co-sign → stranded)</w:t>
            </w:r>
          </w:p>
        </w:tc>
        <w:tc>
          <w:tcPr>
            <w:tcW w:w="800" w:type="pct"/>
            <w:shd w:val="clear" w:color="auto" w:fill="EFF0F7" w:themeFill="background2"/>
          </w:tcPr>
          <w:p>
            <w:pPr>
              <w:pStyle w:val="BSVATableText"/>
            </w:pPr>
            <w:r>
              <w:t>operator-delivered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payout capped, but key = drain</w:t>
            </w:r>
          </w:p>
        </w:tc>
        <w:tc>
          <w:tcPr>
            <w:tcW w:w="750" w:type="pct"/>
            <w:shd w:val="clear" w:color="auto" w:fill="EFF0F7" w:themeFill="background2"/>
          </w:tcPr>
          <w:p>
            <w:pPr>
              <w:pStyle w:val="BSVATableText"/>
            </w:pPr>
            <w:r>
              <w:t>weakest cell; hybrid, labelled</w:t>
            </w:r>
          </w:p>
        </w:tc>
      </w:tr>
      <w:tr>
        <w:trPr>
          <w:trHeight w:val="300"/>
        </w:trPr>
        <w:tc>
          <w:tcPr>
            <w:cnfStyle w:val="001000000000" w:firstColumn="1"/>
            <w:tcW w:w="1100" w:type="pct"/>
          </w:tcPr>
          <w:p>
            <w:pPr>
              <w:pStyle w:val="BSVATableText"/>
            </w:pPr>
            <w:r>
              <w:t>Milestone release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n/a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escape-hatch nLockTime needed</w:t>
            </w:r>
          </w:p>
        </w:tc>
        <w:tc>
          <w:tcPr>
            <w:tcW w:w="800" w:type="pct"/>
          </w:tcPr>
          <w:p>
            <w:pPr>
              <w:pStyle w:val="BSVATableText"/>
            </w:pPr>
            <w:r>
              <w:t>attestor-gated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attestor trust anchor</w:t>
            </w:r>
          </w:p>
        </w:tc>
        <w:tc>
          <w:tcPr>
            <w:tcW w:w="750" w:type="pct"/>
          </w:tcPr>
          <w:p>
            <w:pPr>
              <w:pStyle w:val="BSVATableText"/>
            </w:pPr>
            <w:r>
              <w:t>second-weakest; pair with timelock refund</w:t>
            </w:r>
          </w:p>
        </w:tc>
      </w:tr>
    </w:tbl>
    <w:p>
      <w:pPr>
        <w:pStyle w:val="Normal"/>
      </w:pPr>
    </w:p>
    <w:p>
      <w:pPr>
        <w:pStyle w:val="Heading2"/>
      </w:pPr>
      <w:r>
        <w:t>Reserve-drain vectors (the money-critical class)</w:t>
      </w:r>
    </w:p>
    <w:p>
      <w:pPr>
        <w:pStyle w:val="ListBullet"/>
      </w:pPr>
      <w:r>
        <w:rPr>
          <w:b/>
        </w:rPr>
        <w:t>Covenant math / serialization bug</w:t>
      </w:r>
      <w:r>
        <w:t xml:space="preserve"> (preimage parse, state rewrite, </w:t>
      </w:r>
      <w:r>
        <w:rPr>
          <w:b/>
        </w:rPr>
        <w:t>OP_NUM2BIN width encoding</w:t>
      </w:r>
      <w:r>
        <w:t>) — a permanently drainable reserve. The sold=0 state-length-boundary bug already bit once and was fixed (ADR-028, 2026-08-04): width encoding is the demonstrated sharp edge.</w:t>
      </w:r>
    </w:p>
    <w:p>
      <w:pPr>
        <w:pStyle w:val="ListBullet"/>
      </w:pPr>
      <w:r>
        <w:rPr>
          <w:b/>
        </w:rPr>
        <w:t>Compromised Option B operator key</w:t>
      </w:r>
      <w:r>
        <w:t xml:space="preserve"> — the single highest-value target in the system: a leaked co-sign key drains the whole reserve via forged sell-branch spends, with no seller involvement (FIX-3 payee-binding was reverted as moot precisely because a compromised key already drains regardless).</w:t>
      </w:r>
    </w:p>
    <w:p>
      <w:pPr>
        <w:pStyle w:val="ListBullet"/>
      </w:pPr>
      <w:r>
        <w:rPr>
          <w:b/>
        </w:rPr>
        <w:t>Forged wallet-token sell-back</w:t>
      </w:r>
      <w:r>
        <w:t xml:space="preserve"> — inert against the ledger model (no forgeable token exists); against Option B it is blocked *off-chain* by the fail-closed provenance.ts walk before co-sign — an advisory guard, not in-script enforcement.</w:t>
      </w:r>
    </w:p>
    <w:p>
      <w:pPr>
        <w:pStyle w:val="ListBullet"/>
      </w:pPr>
      <w:r>
        <w:rPr>
          <w:b/>
        </w:rPr>
        <w:t>Leaked oracle/attestor key</w:t>
      </w:r>
      <w:r>
        <w:t xml:space="preserve"> — releases milestone funds on a forged proof.</w:t>
      </w:r>
    </w:p>
    <w:p>
      <w:pPr>
        <w:pStyle w:val="Heading2"/>
      </w:pPr>
      <w:r>
        <w:t>Mandatory pre-launch guards</w:t>
      </w:r>
    </w:p>
    <w:p>
      <w:pPr>
        <w:pStyle w:val="ListBullet"/>
      </w:pPr>
      <w:r>
        <w:rPr>
          <w:b/>
        </w:rPr>
        <w:t>External covenant audit before any non-trivial reserve</w:t>
      </w:r>
      <w:r>
        <w:t xml:space="preserve"> — non-negotiable per ADR-026/027. The linearCurvePool / ledgerPool / stasCurvePool math, preimage handling, and successor-serialization are the audit target; the HashedMap/Merkle ledger is the single largest surface.</w:t>
      </w:r>
    </w:p>
    <w:p>
      <w:pPr>
        <w:pStyle w:val="ListBullet"/>
      </w:pPr>
      <w:r>
        <w:rPr>
          <w:b/>
        </w:rPr>
        <w:t>Mainnet-small-first</w:t>
      </w:r>
      <w:r>
        <w:t xml:space="preserve"> — test every covenant with trivial sats before any real raise (Golden Rule 2, and task-6 security lesson from TheDAO: trustless systems still fail if the code is wrong).</w:t>
      </w:r>
    </w:p>
    <w:p>
      <w:pPr>
        <w:pStyle w:val="ListBullet"/>
      </w:pPr>
      <w:r>
        <w:rPr>
          <w:b/>
        </w:rPr>
        <w:t>HSM-grade custody for the Option B operator key</w:t>
      </w:r>
      <w:r>
        <w:t xml:space="preserve"> — it is reserve-critical; treat it as the crown jewel, or do not offer Option B.</w:t>
      </w:r>
    </w:p>
    <w:p>
      <w:pPr>
        <w:pStyle w:val="ListBullet"/>
      </w:pPr>
      <w:r>
        <w:rPr>
          <w:b/>
        </w:rPr>
        <w:t>Every milestone/time lock paired with an nLockTime refund escape</w:t>
      </w:r>
      <w:r>
        <w:t xml:space="preserve"> — so contributors reclaim with chain + wallet if an attestor or operator vanishes (task-6 Design Principle 1).</w:t>
      </w:r>
    </w:p>
    <w:p>
      <w:pPr>
        <w:pStyle w:val="ListBullet"/>
      </w:pPr>
      <w:r>
        <w:rPr>
          <w:b/>
        </w:rPr>
        <w:t>Honest labelling</w:t>
      </w:r>
      <w:r>
        <w:t xml:space="preserve"> — Option B and operator-delivered classic-STAS distribution are liveness-soft and (Option B) key-critical; label them as such in-product. Never present a batched or operator-gated path as fully trustless.</w:t>
      </w:r>
    </w:p>
    <w:p>
      <w:pPr>
        <w:pStyle w:val="Heading1"/>
      </w:pPr>
      <w:r>
        <w:t>10. Open questions / R&amp;D</w:t>
      </w:r>
    </w:p>
    <w:p>
      <w:pPr>
        <w:pStyle w:val="ListBullet"/>
      </w:pPr>
      <w:r>
        <w:rPr>
          <w:b/>
        </w:rPr>
        <w:t>HashedMap / fixed-depth SMT audit surface (ADR-027).</w:t>
      </w:r>
      <w:r>
        <w:t xml:space="preserve"> The in-covenant ledger is the flagship trustless-sell path *and* the largest audit surface. Open: is scrypt-ts HashedMap production-safe at O(holders) growth, or is a hand-rolled fixed-depth SMT the safer primitive? Validate before any non-trivial ledger pool. No live-mainnet HashedMap ledger-pool precedent exists externally.</w:t>
      </w:r>
    </w:p>
    <w:p>
      <w:pPr>
        <w:pStyle w:val="ListBullet"/>
      </w:pPr>
      <w:r>
        <w:rPr>
          <w:b/>
        </w:rPr>
        <w:t>On-chain deadline as a covenant primitive.</w:t>
      </w:r>
      <w:r>
        <w:t xml:space="preserve"> nLockTime is in the BIP-143 preimage the covenants already parse; building and auditing a CLTV-style branch (with the nSequence &lt; 0xFFFFFFFF pin and block-height/MTP unit discipline) is unbuilt. Off-by-one on the boundary block is a known covenant bug class.</w:t>
      </w:r>
    </w:p>
    <w:p>
      <w:pPr>
        <w:pStyle w:val="ListBullet"/>
      </w:pPr>
      <w:r>
        <w:rPr>
          <w:b/>
        </w:rPr>
        <w:t>Milestone attestation / oracle model.</w:t>
      </w:r>
      <w:r>
        <w:t xml:space="preserve"> The release *branch* is buildable (checkSig-vs-baked-pubkey, exactly stasCurvePool.sell's gate; or hash-preimage; or timelock). Open: who attests, and how to reduce the trust anchor — single key vs threshold/multisig oracle — knowing Script can only ever enforce "this signature exists," never "the work was done."</w:t>
      </w:r>
    </w:p>
    <w:p>
      <w:pPr>
        <w:pStyle w:val="ListBullet"/>
      </w:pPr>
      <w:r>
        <w:rPr>
          <w:b/>
        </w:rPr>
        <w:t>Batch-settlement covenant for hot curves.</w:t>
      </w:r>
      <w:r>
        <w:t xml:space="preserve"> Additive curveCost makes trustless *aggregate pricing* free, but per-buyer fill consent is lost without an interactive round the public-buy model lacks. Open: is there a Merkle-root-of-orders construction that binds per-buyer consent without interactivity, or is operator-attested fill the accepted ceiling for batched curves?</w:t>
      </w:r>
    </w:p>
    <w:p>
      <w:pPr>
        <w:pStyle w:val="ListBullet"/>
      </w:pPr>
      <w:r>
        <w:rPr>
          <w:b/>
        </w:rPr>
        <w:t>Permissionless graduation-mint.</w:t>
      </w:r>
      <w:r>
        <w:t xml:space="preserve"> ADR-027 graduation is a keyless branch, but converting ledger entries to wallet-visible STAS is currently an operator-run mint (liveness-soft, never misdistribution-soft). Open: can the graduation mint be made permissionless so even the liveness dependency is removed?</w:t>
      </w:r>
    </w:p>
    <w:p>
      <w:pPr>
        <w:pStyle w:val="ListBullet"/>
      </w:pPr>
      <w:r>
        <w:rPr>
          <w:b/>
        </w:rPr>
        <w:t>Overlay hosting decentralisation.</w:t>
      </w:r>
      <w:r>
        <w:t xml:space="preserve"> Overlay topics + LookupResolver remove DB-trust for outpoint resolution (Level-4 enabler), but until third-party hosts adopt the launchpad topic, the operator runs the only host — removing DB-trust, not liveness-trust. Open: bootstrap path to independent overlay hosts.</w:t>
      </w:r>
    </w:p>
    <w:p>
      <w:pPr>
        <w:pStyle w:val="ListBullet"/>
      </w:pPr>
      <w:r>
        <w:rPr>
          <w:b/>
        </w:rPr>
        <w:t>Sharded-goal reconciliation for viral A2 raises.</w:t>
      </w:r>
      <w:r>
        <w:t xml:space="preserve"> If a single accumulator campaign goes viral and must shard, raised splits across shards and "goal-met" must sum shard reserves in one merge tx at deadline — a real design wrinkle only if/when a project needs it (year-1 scale does not).</w:t>
      </w:r>
    </w:p>
    <w:p>
      <w:pPr>
        <w:pStyle w:val="ListBullet"/>
      </w:pPr>
      <w:r>
        <w:rPr>
          <w:b/>
        </w:rPr>
        <w:t>TAAL / stas-js commercial licence (ADR-021).</w:t>
      </w:r>
      <w:r>
        <w:t xml:space="preserve"> An unresolved pre-launch *business* dependency for the classic-STAS distribution rail — flagged here so it is not rediscovered at launch.</w:t>
      </w:r>
    </w:p>
    <w:sectPr w:rsidR="00F9441A" w:rsidRPr="00B71CE9" w:rsidSect="006A047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871" w:right="1021" w:bottom="1247" w:left="1021" w:header="709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11D4" w14:textId="77777777" w:rsidR="002C055D" w:rsidRDefault="002C055D" w:rsidP="001F288B">
      <w:r>
        <w:separator/>
      </w:r>
    </w:p>
  </w:endnote>
  <w:endnote w:type="continuationSeparator" w:id="0">
    <w:p w14:paraId="27D7485E" w14:textId="77777777" w:rsidR="002C055D" w:rsidRDefault="002C055D" w:rsidP="001F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hillax Semibold">
    <w:altName w:val="Calibri"/>
    <w:panose1 w:val="020B0604020202020204"/>
    <w:charset w:val="4D"/>
    <w:family w:val="auto"/>
    <w:notTrueType/>
    <w:pitch w:val="variable"/>
    <w:sig w:usb0="8000006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emBd">
    <w:altName w:val="Calibri"/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Source Sans Pro Regular">
    <w:altName w:val="Source Sans Pro"/>
    <w:panose1 w:val="020B0604020202020204"/>
    <w:charset w:val="00"/>
    <w:family w:val="swiss"/>
    <w:pitch w:val="variable"/>
    <w:sig w:usb0="600002F7" w:usb1="02000001" w:usb2="00000000" w:usb3="00000000" w:csb0="0000019F" w:csb1="00000000"/>
  </w:font>
  <w:font w:name="Gibson">
    <w:altName w:val="Calibri"/>
    <w:panose1 w:val="020B0604020202020204"/>
    <w:charset w:val="4D"/>
    <w:family w:val="auto"/>
    <w:pitch w:val="variable"/>
    <w:sig w:usb0="A000002F" w:usb1="5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E4F1" w14:textId="77777777" w:rsidR="00FB2FBA" w:rsidRDefault="00FB2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C212" w14:textId="77777777" w:rsidR="00BC532E" w:rsidRPr="00BF2F8B" w:rsidRDefault="00960B76" w:rsidP="00BF2F8B">
    <w:pPr>
      <w:pStyle w:val="Footer"/>
      <w:tabs>
        <w:tab w:val="clear" w:pos="9026"/>
        <w:tab w:val="right" w:pos="9864"/>
      </w:tabs>
    </w:pPr>
    <w:r w:rsidRPr="00BF2F8B">
      <w:t>Version 1.0</w:t>
    </w:r>
    <w:r w:rsidR="00ED6DA0" w:rsidRPr="00BF2F8B">
      <w:tab/>
    </w:r>
    <w:r w:rsidR="00ED6DA0" w:rsidRPr="00BF2F8B">
      <w:tab/>
    </w:r>
    <w:r w:rsidR="00BF2F8B" w:rsidRPr="00BF2F8B">
      <w:t xml:space="preserve"> </w:t>
    </w:r>
    <w:r w:rsidR="00BC532E" w:rsidRPr="00BF2F8B">
      <w:rPr>
        <w:rStyle w:val="PageNumber"/>
      </w:rPr>
      <w:fldChar w:fldCharType="begin"/>
    </w:r>
    <w:r w:rsidR="00BC532E" w:rsidRPr="00BF2F8B">
      <w:rPr>
        <w:rStyle w:val="PageNumber"/>
      </w:rPr>
      <w:instrText xml:space="preserve"> PAGE  \* Arabic  \* MERGEFORMAT </w:instrText>
    </w:r>
    <w:r w:rsidR="00BC532E" w:rsidRPr="00BF2F8B">
      <w:rPr>
        <w:rStyle w:val="PageNumber"/>
      </w:rPr>
      <w:fldChar w:fldCharType="separate"/>
    </w:r>
    <w:r w:rsidR="00BC532E" w:rsidRPr="00BF2F8B">
      <w:rPr>
        <w:rStyle w:val="PageNumber"/>
      </w:rPr>
      <w:t>2</w:t>
    </w:r>
    <w:r w:rsidR="00BC532E" w:rsidRPr="00BF2F8B">
      <w:rPr>
        <w:rStyle w:val="PageNumber"/>
      </w:rPr>
      <w:fldChar w:fldCharType="end"/>
    </w:r>
    <w:r w:rsidR="00BC532E" w:rsidRPr="00BF2F8B">
      <w:rPr>
        <w:rStyle w:val="PageNumber"/>
      </w:rPr>
      <w:t xml:space="preserve"> of </w:t>
    </w:r>
    <w:r w:rsidR="00BC532E" w:rsidRPr="00BF2F8B">
      <w:rPr>
        <w:rStyle w:val="PageNumber"/>
      </w:rPr>
      <w:fldChar w:fldCharType="begin"/>
    </w:r>
    <w:r w:rsidR="00BC532E" w:rsidRPr="00BF2F8B">
      <w:rPr>
        <w:rStyle w:val="PageNumber"/>
      </w:rPr>
      <w:instrText xml:space="preserve"> NUMPAGES  \* Arabic  \* MERGEFORMAT </w:instrText>
    </w:r>
    <w:r w:rsidR="00BC532E" w:rsidRPr="00BF2F8B">
      <w:rPr>
        <w:rStyle w:val="PageNumber"/>
      </w:rPr>
      <w:fldChar w:fldCharType="separate"/>
    </w:r>
    <w:r w:rsidR="00BC532E" w:rsidRPr="00BF2F8B">
      <w:rPr>
        <w:rStyle w:val="PageNumber"/>
      </w:rPr>
      <w:t>2</w:t>
    </w:r>
    <w:r w:rsidR="00BC532E" w:rsidRPr="00BF2F8B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1DB0" w14:textId="77777777" w:rsidR="00FB2FBA" w:rsidRDefault="00FB2F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7E3E" w14:textId="77777777" w:rsidR="00F9441A" w:rsidRDefault="00F94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C8DE" w14:textId="77777777" w:rsidR="002C055D" w:rsidRPr="006B3377" w:rsidRDefault="002C055D" w:rsidP="006B3377">
      <w:pPr>
        <w:pStyle w:val="Footer"/>
        <w:rPr>
          <w:lang w:val="de-AT"/>
        </w:rPr>
      </w:pPr>
    </w:p>
  </w:footnote>
  <w:footnote w:type="continuationSeparator" w:id="0">
    <w:p w14:paraId="3A6EF24A" w14:textId="77777777" w:rsidR="002C055D" w:rsidRDefault="002C055D" w:rsidP="001F288B">
      <w:r>
        <w:continuationSeparator/>
      </w:r>
    </w:p>
  </w:footnote>
  <w:footnote w:id="1">
    <w:p w14:paraId="5718BB35" w14:textId="77777777" w:rsidR="00B62205" w:rsidRPr="009221E8" w:rsidRDefault="00B62205" w:rsidP="005D6D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9221E8" w:rsidRPr="005D6DE0">
        <w:t>BSVA | Footnote text. consetetur sadipscing elitr, sed diam nonumy eirmod tempor invidunt ut labore et dolore magna aliquyam</w:t>
      </w:r>
      <w:r w:rsidR="00D65087" w:rsidRPr="005D6DE0">
        <w:t xml:space="preserve"> et dolore magna aliquyam erat, sed. At vero eos et accusam et justo duo dolores et stet clita diam voluptua.</w:t>
      </w:r>
    </w:p>
  </w:footnote>
  <w:footnote w:id="2">
    <w:p w14:paraId="6AD2CD76" w14:textId="77777777" w:rsidR="00D65087" w:rsidRPr="00D65087" w:rsidRDefault="00D65087" w:rsidP="005D6D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06F62">
        <w:t xml:space="preserve">Lorem ipsum dolor sit amet, consetetur sadipscing elitr, sed diam nonumy eirmod tempor invidunt </w:t>
      </w:r>
      <w:r>
        <w:t>s</w:t>
      </w:r>
      <w:r w:rsidRPr="00906F62">
        <w:t>ut</w:t>
      </w:r>
      <w:r w:rsidR="005D6DE0">
        <w:t xml:space="preserve"> rana dixit a folio.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5305" w14:textId="77777777" w:rsidR="00FB2FBA" w:rsidRDefault="00FB2F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E50A" w14:textId="77777777" w:rsidR="00BC532E" w:rsidRPr="00E709F3" w:rsidRDefault="00F46585" w:rsidP="00E709F3">
    <w:pPr>
      <w:pStyle w:val="Header"/>
    </w:pPr>
    <w:r w:rsidRPr="00E709F3">
      <w:drawing>
        <wp:anchor distT="0" distB="0" distL="114300" distR="114300" simplePos="0" relativeHeight="251665408" behindDoc="1" locked="0" layoutInCell="1" allowOverlap="1" wp14:anchorId="6496A9DD" wp14:editId="02FF6718">
          <wp:simplePos x="0" y="0"/>
          <wp:positionH relativeFrom="margin">
            <wp:posOffset>-648335</wp:posOffset>
          </wp:positionH>
          <wp:positionV relativeFrom="paragraph">
            <wp:posOffset>-411849</wp:posOffset>
          </wp:positionV>
          <wp:extent cx="7543800" cy="10662578"/>
          <wp:effectExtent l="0" t="0" r="0" b="5715"/>
          <wp:wrapNone/>
          <wp:docPr id="961837136" name="Picture 10" descr="A black background with a black bord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837136" name="Picture 10" descr="A black background with a black bord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214" cy="106631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532E" w:rsidRPr="00E709F3">
      <w:drawing>
        <wp:anchor distT="0" distB="0" distL="114300" distR="114300" simplePos="0" relativeHeight="251663360" behindDoc="1" locked="0" layoutInCell="1" allowOverlap="1" wp14:anchorId="1B22B519" wp14:editId="1D8A4E76">
          <wp:simplePos x="0" y="0"/>
          <wp:positionH relativeFrom="column">
            <wp:posOffset>4711809</wp:posOffset>
          </wp:positionH>
          <wp:positionV relativeFrom="paragraph">
            <wp:posOffset>-8255</wp:posOffset>
          </wp:positionV>
          <wp:extent cx="1563370" cy="106045"/>
          <wp:effectExtent l="0" t="0" r="0" b="0"/>
          <wp:wrapNone/>
          <wp:docPr id="1899724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72467" name="Picture 18997246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63370" cy="106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532E" w:rsidRPr="00E709F3">
      <w:t>Decentralized Funding Strategy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740C" w14:textId="77777777" w:rsidR="00443C6D" w:rsidRDefault="00224883" w:rsidP="00E709F3">
    <w:pPr>
      <w:pStyle w:val="Header"/>
    </w:pPr>
    <w:r>
      <w:drawing>
        <wp:anchor distT="0" distB="0" distL="114300" distR="114300" simplePos="0" relativeHeight="251658240" behindDoc="1" locked="0" layoutInCell="1" allowOverlap="1" wp14:anchorId="5DF0CF32" wp14:editId="7A499231">
          <wp:simplePos x="0" y="0"/>
          <wp:positionH relativeFrom="margin">
            <wp:posOffset>-658495</wp:posOffset>
          </wp:positionH>
          <wp:positionV relativeFrom="margin">
            <wp:posOffset>-1181784</wp:posOffset>
          </wp:positionV>
          <wp:extent cx="7621566" cy="10772138"/>
          <wp:effectExtent l="0" t="0" r="0" b="0"/>
          <wp:wrapNone/>
          <wp:docPr id="1952761755" name="Picture 2" descr="A blue and black background with many triangl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761755" name="Picture 2" descr="A blue and black background with many triangl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566" cy="10772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60288" behindDoc="1" locked="0" layoutInCell="1" allowOverlap="1" wp14:anchorId="737A6A9E" wp14:editId="3A59232A">
          <wp:simplePos x="0" y="0"/>
          <wp:positionH relativeFrom="column">
            <wp:posOffset>-939</wp:posOffset>
          </wp:positionH>
          <wp:positionV relativeFrom="paragraph">
            <wp:posOffset>29845</wp:posOffset>
          </wp:positionV>
          <wp:extent cx="1796415" cy="1378585"/>
          <wp:effectExtent l="0" t="0" r="0" b="5715"/>
          <wp:wrapNone/>
          <wp:docPr id="17002283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8319" name="Picture 170022831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96415" cy="1378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2008" w14:textId="77777777" w:rsidR="00F9441A" w:rsidRDefault="00407FBD" w:rsidP="00E709F3">
    <w:pPr>
      <w:pStyle w:val="Header"/>
    </w:pPr>
    <w:r>
      <w:drawing>
        <wp:anchor distT="0" distB="0" distL="114300" distR="114300" simplePos="0" relativeHeight="251672576" behindDoc="1" locked="0" layoutInCell="1" allowOverlap="1" wp14:anchorId="08A6CE2A" wp14:editId="023FD4D0">
          <wp:simplePos x="0" y="0"/>
          <wp:positionH relativeFrom="margin">
            <wp:posOffset>3121412</wp:posOffset>
          </wp:positionH>
          <wp:positionV relativeFrom="margin">
            <wp:posOffset>-1188085</wp:posOffset>
          </wp:positionV>
          <wp:extent cx="8040295" cy="12659311"/>
          <wp:effectExtent l="0" t="0" r="0" b="0"/>
          <wp:wrapNone/>
          <wp:docPr id="336967841" name="Picture 2" descr="A blue and black background with many triangl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761755" name="Picture 2" descr="A blue and black background with many triangl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736" t="1" r="-28014" b="18368"/>
                  <a:stretch/>
                </pic:blipFill>
                <pic:spPr bwMode="auto">
                  <a:xfrm>
                    <a:off x="0" y="0"/>
                    <a:ext cx="8040295" cy="12659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68FE" w:rsidRPr="00B71CE9">
      <mc:AlternateContent>
        <mc:Choice Requires="wps">
          <w:drawing>
            <wp:anchor distT="0" distB="0" distL="114300" distR="114300" simplePos="0" relativeHeight="251674624" behindDoc="0" locked="0" layoutInCell="1" allowOverlap="1" wp14:anchorId="65D3E1D6" wp14:editId="0C8BCA61">
              <wp:simplePos x="0" y="0"/>
              <wp:positionH relativeFrom="column">
                <wp:posOffset>49907</wp:posOffset>
              </wp:positionH>
              <wp:positionV relativeFrom="paragraph">
                <wp:posOffset>3685540</wp:posOffset>
              </wp:positionV>
              <wp:extent cx="3854547" cy="5950633"/>
              <wp:effectExtent l="0" t="0" r="6350" b="5715"/>
              <wp:wrapNone/>
              <wp:docPr id="48550281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4547" cy="59506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FBE76" w14:textId="77777777" w:rsidR="003F68FE" w:rsidRDefault="003F68FE" w:rsidP="003F68FE">
                          <w:pPr>
                            <w:pStyle w:val="BSVASectionDividerHeading"/>
                            <w:spacing w:before="0" w:after="5400"/>
                          </w:pPr>
                          <w:r w:rsidRPr="00C54046">
                            <w:t>Thank you</w:t>
                          </w:r>
                        </w:p>
                        <w:p w14:paraId="5B2AAF4C" w14:textId="77777777" w:rsidR="003F68FE" w:rsidRDefault="003F68FE" w:rsidP="003F68FE">
                          <w:pPr>
                            <w:pStyle w:val="Heading3"/>
                            <w:spacing w:after="0"/>
                          </w:pPr>
                          <w:r w:rsidRPr="00F71BFE">
                            <w:t>Contact</w:t>
                          </w:r>
                        </w:p>
                        <w:p w14:paraId="0F93EF2C" w14:textId="77777777" w:rsidR="003F68FE" w:rsidRPr="003F68FE" w:rsidRDefault="003F68FE" w:rsidP="003F68FE">
                          <w:pPr>
                            <w:rPr>
                              <w:color w:val="003FFF" w:themeColor="accent3"/>
                              <w:sz w:val="36"/>
                              <w:szCs w:val="36"/>
                              <w:lang w:val="en-US"/>
                            </w:rPr>
                          </w:pPr>
                          <w:r w:rsidRPr="003F68FE">
                            <w:rPr>
                              <w:color w:val="003FFF" w:themeColor="accent3"/>
                              <w:sz w:val="36"/>
                              <w:szCs w:val="36"/>
                              <w:lang w:val="en-US"/>
                            </w:rPr>
                            <w:t>–</w:t>
                          </w:r>
                        </w:p>
                        <w:p w14:paraId="394B286D" w14:textId="77777777" w:rsidR="003F68FE" w:rsidRPr="00F61EC7" w:rsidRDefault="003F68FE" w:rsidP="003F68FE">
                          <w:pPr>
                            <w:spacing w:after="40"/>
                            <w:rPr>
                              <w:rFonts w:ascii="Noto Sans SemBd" w:hAnsi="Noto Sans SemBd" w:cs="Noto Sans SemBd"/>
                              <w:b/>
                              <w:bCs/>
                              <w:lang w:val="en-US"/>
                            </w:rPr>
                          </w:pPr>
                          <w:r w:rsidRPr="00F61EC7">
                            <w:rPr>
                              <w:rFonts w:ascii="Noto Sans SemBd" w:hAnsi="Noto Sans SemBd" w:cs="Noto Sans SemBd"/>
                              <w:b/>
                              <w:bCs/>
                              <w:lang w:val="en-US"/>
                            </w:rPr>
                            <w:t>BSV Association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proofErr w:type="spellStart"/>
                          <w:r w:rsidR="00FB2FBA" w:rsidRPr="00F61EC7">
                            <w:rPr>
                              <w:lang w:val="en-US"/>
                            </w:rPr>
                            <w:t>Alpenstrasse</w:t>
                          </w:r>
                          <w:proofErr w:type="spellEnd"/>
                          <w:r w:rsidR="00FB2FBA" w:rsidRPr="00F61EC7">
                            <w:rPr>
                              <w:lang w:val="en-US"/>
                            </w:rPr>
                            <w:t xml:space="preserve"> 15</w:t>
                          </w:r>
                          <w:r w:rsidRPr="00F61EC7">
                            <w:rPr>
                              <w:lang w:val="en-US"/>
                            </w:rPr>
                            <w:t xml:space="preserve"> 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="00316E4D" w:rsidRPr="00F61EC7">
                            <w:rPr>
                              <w:lang w:val="en-US"/>
                            </w:rPr>
                            <w:t>6300 Zug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="00316E4D" w:rsidRPr="00F61EC7">
                            <w:rPr>
                              <w:lang w:val="en-US"/>
                            </w:rPr>
                            <w:t>Switzerland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hyperlink r:id="rId2" w:history="1">
                            <w:r w:rsidRPr="00F61EC7">
                              <w:rPr>
                                <w:rStyle w:val="Hyperlink"/>
                                <w:color w:val="2C2C30" w:themeColor="text2"/>
                                <w:u w:val="none"/>
                                <w:lang w:val="en-US"/>
                              </w:rPr>
                              <w:t>contact@bsvassociation.org</w:t>
                            </w:r>
                          </w:hyperlink>
                        </w:p>
                        <w:p w14:paraId="135AB557" w14:textId="77777777" w:rsidR="003F68FE" w:rsidRPr="00316E4D" w:rsidRDefault="003F68FE" w:rsidP="003F68FE">
                          <w:hyperlink r:id="rId3" w:history="1">
                            <w:r w:rsidRPr="00316E4D">
                              <w:rPr>
                                <w:rStyle w:val="Hyperlink"/>
                                <w:color w:val="2C2C30" w:themeColor="text2"/>
                                <w:u w:val="none"/>
                              </w:rPr>
                              <w:t>association.bsvblockchain.org</w:t>
                            </w:r>
                          </w:hyperlink>
                        </w:p>
                        <w:p w14:paraId="19EB98FC" w14:textId="77777777" w:rsidR="003F68FE" w:rsidRPr="00316E4D" w:rsidRDefault="003F68FE" w:rsidP="003F68FE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D3E1D6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95pt;margin-top:290.2pt;width:303.5pt;height:468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XDNGAIAACkEAAAOAAAAZHJzL2Uyb0RvYy54bWysU01v2zAMvQ/YfxB0X+w0TdYZcYqsRYYB&#13;&#10;RVsgHXpWZCk2YIsapcTOfv0o2U6KbqdhF4kSKX6897S87ZqaHRW6CkzOp5OUM2UkFJXZ5/zHy+bT&#13;&#10;DWfOC1OIGozK+Uk5frv6+GHZ2kxdQQl1oZBREuOy1ua89N5mSeJkqRrhJmCVIacGbISnI+6TAkVL&#13;&#10;2Zs6uUrTRdICFhZBKufo9r538lXMr7WS/klrpzyrc069+bhiXHdhTVZLke1R2LKSQxviH7poRGWo&#13;&#10;6DnVvfCCHbD6I1VTSQQH2k8kNAloXUkVZ6Bppum7abalsCrOQuA4e4bJ/b+08vG4tc/IfPcVOiIw&#13;&#10;ANJalzm6DPN0GpuwU6eM/ATh6Qyb6jyTdDm7mV/Prz9zJsk3/zJPF7NZyJNcnlt0/puChgUj50i8&#13;&#10;RLjE8cH5PnQMCdUMbKq6jtzUhrU5X8zmaXxw9lDy2lCNS7PB8t2uGybYQXGiwRB6zp2Vm4qKPwjn&#13;&#10;nwUSyTQLCdc/0aJroCIwWJyVgL/+dh/iCXvyctaSaHLufh4EKs7q74ZYCQobDRyN3WiYQ3MHpMMp&#13;&#10;fQkro0kP0NejqRGaV9LzOlQhlzCSauXcj+ad76VL/0Gq9ToGHSxW+5IeUFrSlBX+wWytDOcAZYD1&#13;&#10;pXsVaAfsPdH2CKO0RPaOgj62J2F98KCryE8At0d0wJz0GBke/k4Q/NtzjLr88NVvAAAA//8DAFBL&#13;&#10;AwQUAAYACAAAACEAPL1tmOMAAAAPAQAADwAAAGRycy9kb3ducmV2LnhtbExPy07DMBC8I/EP1iJx&#13;&#10;o3ZQ05Y0ToUo3KDQFiS4OfGSRPgRxU4a/p7lBJeVdmd2HvlmsoaN2IfWOwnJTABDV3ndulrC6/Hh&#13;&#10;agUsROW0Mt6hhG8MsCnOz3KVaX9yexwPsWYk4kKmJDQxdhnnoWrQqjDzHTrCPn1vVaS1r7nu1YnE&#13;&#10;reHXQiy4Va0jh0Z1eNdg9XUYrATzHvrHUsSPcVs/xZdnPrzdJzspLy+m7ZrG7RpYxCn+fcBvB8oP&#13;&#10;BQUr/eB0YEbC8oaIEtKVmAMjfJHM6VISMU2WKfAi5/97FD8AAAD//wMAUEsBAi0AFAAGAAgAAAAh&#13;&#10;ALaDOJL+AAAA4QEAABMAAAAAAAAAAAAAAAAAAAAAAFtDb250ZW50X1R5cGVzXS54bWxQSwECLQAU&#13;&#10;AAYACAAAACEAOP0h/9YAAACUAQAACwAAAAAAAAAAAAAAAAAvAQAAX3JlbHMvLnJlbHNQSwECLQAU&#13;&#10;AAYACAAAACEAWulwzRgCAAApBAAADgAAAAAAAAAAAAAAAAAuAgAAZHJzL2Uyb0RvYy54bWxQSwEC&#13;&#10;LQAUAAYACAAAACEAPL1tmOMAAAAPAQAADwAAAAAAAAAAAAAAAAByBAAAZHJzL2Rvd25yZXYueG1s&#13;&#10;UEsFBgAAAAAEAAQA8wAAAIIFAAAAAA==&#13;&#10;" filled="f" stroked="f" strokeweight=".5pt">
              <v:textbox inset="0,0,0,0">
                <w:txbxContent>
                  <w:p w14:paraId="72AFBE76" w14:textId="77777777" w:rsidR="003F68FE" w:rsidRDefault="003F68FE" w:rsidP="003F68FE">
                    <w:pPr>
                      <w:pStyle w:val="BSVASectionDividerHeading"/>
                      <w:spacing w:before="0" w:after="5400"/>
                    </w:pPr>
                    <w:r w:rsidRPr="00C54046">
                      <w:t>Thank you</w:t>
                    </w:r>
                  </w:p>
                  <w:p w14:paraId="5B2AAF4C" w14:textId="77777777" w:rsidR="003F68FE" w:rsidRDefault="003F68FE" w:rsidP="003F68FE">
                    <w:pPr>
                      <w:pStyle w:val="Heading3"/>
                      <w:spacing w:after="0"/>
                    </w:pPr>
                    <w:r w:rsidRPr="00F71BFE">
                      <w:t>Contact</w:t>
                    </w:r>
                  </w:p>
                  <w:p w14:paraId="0F93EF2C" w14:textId="77777777" w:rsidR="003F68FE" w:rsidRPr="003F68FE" w:rsidRDefault="003F68FE" w:rsidP="003F68FE">
                    <w:pPr>
                      <w:rPr>
                        <w:color w:val="003FFF" w:themeColor="accent3"/>
                        <w:sz w:val="36"/>
                        <w:szCs w:val="36"/>
                        <w:lang w:val="en-US"/>
                      </w:rPr>
                    </w:pPr>
                    <w:r w:rsidRPr="003F68FE">
                      <w:rPr>
                        <w:color w:val="003FFF" w:themeColor="accent3"/>
                        <w:sz w:val="36"/>
                        <w:szCs w:val="36"/>
                        <w:lang w:val="en-US"/>
                      </w:rPr>
                      <w:t>–</w:t>
                    </w:r>
                  </w:p>
                  <w:p w14:paraId="394B286D" w14:textId="77777777" w:rsidR="003F68FE" w:rsidRPr="00F61EC7" w:rsidRDefault="003F68FE" w:rsidP="003F68FE">
                    <w:pPr>
                      <w:spacing w:after="40"/>
                      <w:rPr>
                        <w:rFonts w:ascii="Noto Sans SemBd" w:hAnsi="Noto Sans SemBd" w:cs="Noto Sans SemBd"/>
                        <w:b/>
                        <w:bCs/>
                        <w:lang w:val="en-US"/>
                      </w:rPr>
                    </w:pPr>
                    <w:r w:rsidRPr="00F61EC7">
                      <w:rPr>
                        <w:rFonts w:ascii="Noto Sans SemBd" w:hAnsi="Noto Sans SemBd" w:cs="Noto Sans SemBd"/>
                        <w:b/>
                        <w:bCs/>
                        <w:lang w:val="en-US"/>
                      </w:rPr>
                      <w:t>BSV Association</w:t>
                    </w:r>
                    <w:r w:rsidRPr="00F61EC7">
                      <w:rPr>
                        <w:lang w:val="en-US"/>
                      </w:rPr>
                      <w:br/>
                    </w:r>
                    <w:proofErr w:type="spellStart"/>
                    <w:r w:rsidR="00FB2FBA" w:rsidRPr="00F61EC7">
                      <w:rPr>
                        <w:lang w:val="en-US"/>
                      </w:rPr>
                      <w:t>Alpenstrasse</w:t>
                    </w:r>
                    <w:proofErr w:type="spellEnd"/>
                    <w:r w:rsidR="00FB2FBA" w:rsidRPr="00F61EC7">
                      <w:rPr>
                        <w:lang w:val="en-US"/>
                      </w:rPr>
                      <w:t xml:space="preserve"> 15</w:t>
                    </w:r>
                    <w:r w:rsidRPr="00F61EC7">
                      <w:rPr>
                        <w:lang w:val="en-US"/>
                      </w:rPr>
                      <w:t xml:space="preserve"> </w:t>
                    </w:r>
                    <w:r w:rsidRPr="00F61EC7">
                      <w:rPr>
                        <w:lang w:val="en-US"/>
                      </w:rPr>
                      <w:br/>
                    </w:r>
                    <w:r w:rsidR="00316E4D" w:rsidRPr="00F61EC7">
                      <w:rPr>
                        <w:lang w:val="en-US"/>
                      </w:rPr>
                      <w:t>6300 Zug</w:t>
                    </w:r>
                    <w:r w:rsidRPr="00F61EC7">
                      <w:rPr>
                        <w:lang w:val="en-US"/>
                      </w:rPr>
                      <w:br/>
                    </w:r>
                    <w:r w:rsidR="00316E4D" w:rsidRPr="00F61EC7">
                      <w:rPr>
                        <w:lang w:val="en-US"/>
                      </w:rPr>
                      <w:t>Switzerland</w:t>
                    </w:r>
                    <w:r w:rsidRPr="00F61EC7">
                      <w:rPr>
                        <w:lang w:val="en-US"/>
                      </w:rPr>
                      <w:br/>
                    </w:r>
                    <w:r w:rsidRPr="00F61EC7">
                      <w:rPr>
                        <w:lang w:val="en-US"/>
                      </w:rPr>
                      <w:br/>
                    </w:r>
                    <w:hyperlink r:id="rId4" w:history="1">
                      <w:r w:rsidRPr="00F61EC7">
                        <w:rPr>
                          <w:rStyle w:val="Hyperlink"/>
                          <w:color w:val="2C2C30" w:themeColor="text2"/>
                          <w:u w:val="none"/>
                          <w:lang w:val="en-US"/>
                        </w:rPr>
                        <w:t>contact@bsvassociation.org</w:t>
                      </w:r>
                    </w:hyperlink>
                  </w:p>
                  <w:p w14:paraId="135AB557" w14:textId="77777777" w:rsidR="003F68FE" w:rsidRPr="00316E4D" w:rsidRDefault="003F68FE" w:rsidP="003F68FE">
                    <w:hyperlink r:id="rId5" w:history="1">
                      <w:r w:rsidRPr="00316E4D">
                        <w:rPr>
                          <w:rStyle w:val="Hyperlink"/>
                          <w:color w:val="2C2C30" w:themeColor="text2"/>
                          <w:u w:val="none"/>
                        </w:rPr>
                        <w:t>association.bsvblockchain.org</w:t>
                      </w:r>
                    </w:hyperlink>
                  </w:p>
                  <w:p w14:paraId="19EB98FC" w14:textId="77777777" w:rsidR="003F68FE" w:rsidRPr="00316E4D" w:rsidRDefault="003F68FE" w:rsidP="003F68FE"/>
                </w:txbxContent>
              </v:textbox>
            </v:shape>
          </w:pict>
        </mc:Fallback>
      </mc:AlternateContent>
    </w:r>
    <w:r w:rsidR="003F68FE">
      <w:t xml:space="preserve"> </w:t>
    </w:r>
    <w:r w:rsidR="000423EC">
      <w:rPr>
        <w:lang w:val="en-US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69DFAA7A" wp14:editId="449BEFD9">
              <wp:simplePos x="0" y="0"/>
              <wp:positionH relativeFrom="column">
                <wp:posOffset>-690538</wp:posOffset>
              </wp:positionH>
              <wp:positionV relativeFrom="paragraph">
                <wp:posOffset>-450215</wp:posOffset>
              </wp:positionV>
              <wp:extent cx="7592695" cy="10747326"/>
              <wp:effectExtent l="0" t="0" r="1905" b="0"/>
              <wp:wrapNone/>
              <wp:docPr id="158861830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2695" cy="10747326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69EB4E" id="Rectangle 15" o:spid="_x0000_s1026" style="position:absolute;margin-left:-54.35pt;margin-top:-35.45pt;width:597.85pt;height:846.2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YAgdQIAAGQFAAAOAAAAZHJzL2Uyb0RvYy54bWysVN9P2zAQfp+0/8Hy+0jStXRUpKgCMU1C&#13;&#10;gICJZ+PYJJLj885u0+6v39lJUwZok6a9OD7f7y/f3enZtjVso9A3YEteHOWcKSuhauxzyb8/XH76&#13;&#10;wpkPwlbCgFUl3ynPz5YfP5x2bqEmUIOpFDIKYv2icyWvQ3CLLPOyVq3wR+CUJaUGbEUgEZ+zCkVH&#13;&#10;0VuTTfL8OOsAK4cglff0etEr+TLF11rJcKO1V4GZklNtIZ2Yzqd4ZstTsXhG4epGDmWIf6iiFY2l&#13;&#10;pGOoCxEEW2PzJlTbSAQPOhxJaDPQupEq9UDdFPmrbu5r4VTqhcDxboTJ/7+w8npz726RYOicX3i6&#13;&#10;xi62Gtv4pfrYNoG1G8FS28AkPc5nJ5PjkxlnknRFPp/OP0+OI57Zwd+hD18VtCxeSo70OxJKYnPl&#13;&#10;Q2+6N4npPJimumyMSUKkgDo3yDaCfp6QUtlQDAl+szQ22luInn3Q+JIdGkq3sDMq2hl7pzRrKmph&#13;&#10;kopJXHubKNVQi0r1+YtZnie6UHujR2o2BYzWmvKPsYs/xe6rHOyjq0pUHZ3zvzuPHikz2DA6t40F&#13;&#10;fC+AGeHTvf0epB6aiNITVLtbZAj9oHgnLxv6dVfCh1uBNBk0QzTt4YYObaArOQw3zmrAn++9R3si&#13;&#10;LGk562jSSu5/rAUqzsw3S1Q+KabTOJpJmM7mExLwpebppcau23MgPhS0V5xM12gfzP6qEdpHWgqr&#13;&#10;mJVUwkrKXXIZcC+ch34D0FqRarVKZjSOToQre+9kDB5RjdR82D4KdAN/A3H/GvZTKRavaNzbRk8L&#13;&#10;q3UA3SSOH3Ad8KZRTsQZ1k7cFS/lZHVYjstfAAAA//8DAFBLAwQUAAYACAAAACEAyMYJceYAAAAT&#13;&#10;AQAADwAAAGRycy9kb3ducmV2LnhtbExPwU7DMAy9I/EPkZG4bUknaLeu6VRRcQBph40iccwar61o&#13;&#10;ktJkW/l7vNO4WM/28/N72WYyPTvj6DtnJURzAQxt7XRnGwnVx+tsCcwHZbXqnUUJv+hhk9/fZSrV&#13;&#10;7mJ3eN6HhpGI9amS0IYwpJz7ukWj/NwNaGl3dKNRgdqx4XpUFxI3PV8IEXOjOksfWjXgS4v19/5k&#13;&#10;JDwXfvdZbN+Lt6evstwOVSKqn0TKx4epXFMp1sACTuF2AdcM5B9yMnZwJ6s96yXMIrFMiEsoEStg&#13;&#10;VwpNKOSBULyIYuB5xv9nyf8AAAD//wMAUEsBAi0AFAAGAAgAAAAhALaDOJL+AAAA4QEAABMAAAAA&#13;&#10;AAAAAAAAAAAAAAAAAFtDb250ZW50X1R5cGVzXS54bWxQSwECLQAUAAYACAAAACEAOP0h/9YAAACU&#13;&#10;AQAACwAAAAAAAAAAAAAAAAAvAQAAX3JlbHMvLnJlbHNQSwECLQAUAAYACAAAACEAJnmAIHUCAABk&#13;&#10;BQAADgAAAAAAAAAAAAAAAAAuAgAAZHJzL2Uyb0RvYy54bWxQSwECLQAUAAYACAAAACEAyMYJceYA&#13;&#10;AAATAQAADwAAAAAAAAAAAAAAAADPBAAAZHJzL2Rvd25yZXYueG1sUEsFBgAAAAAEAAQA8wAAAOIF&#13;&#10;AAAAAA==&#13;&#10;" fillcolor="#dae3ff [3204]" stroked="f" strokeweight="1.5pt"/>
          </w:pict>
        </mc:Fallback>
      </mc:AlternateContent>
    </w:r>
    <w:r w:rsidR="00460383">
      <w:drawing>
        <wp:anchor distT="0" distB="0" distL="114300" distR="114300" simplePos="0" relativeHeight="251667456" behindDoc="1" locked="0" layoutInCell="1" allowOverlap="1" wp14:anchorId="2D4D3665" wp14:editId="062C7D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96415" cy="1378585"/>
          <wp:effectExtent l="0" t="0" r="0" b="5715"/>
          <wp:wrapNone/>
          <wp:docPr id="6138836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8319" name="Picture 170022831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1796415" cy="1378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06E9762"/>
    <w:lvl w:ilvl="0">
      <w:start w:val="1"/>
      <w:numFmt w:val="bullet"/>
      <w:pStyle w:val="ListBullet3"/>
      <w:lvlText w:val=""/>
      <w:lvlJc w:val="left"/>
      <w:pPr>
        <w:ind w:left="926" w:hanging="360"/>
      </w:pPr>
      <w:rPr>
        <w:rFonts w:ascii="Symbol" w:hAnsi="Symbol" w:hint="default"/>
        <w:color w:val="003FFF" w:themeColor="accent3"/>
      </w:rPr>
    </w:lvl>
  </w:abstractNum>
  <w:abstractNum w:abstractNumId="1" w15:restartNumberingAfterBreak="0">
    <w:nsid w:val="FFFFFF83"/>
    <w:multiLevelType w:val="singleLevel"/>
    <w:tmpl w:val="CAA842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003FFF" w:themeColor="accent3"/>
      </w:rPr>
    </w:lvl>
  </w:abstractNum>
  <w:abstractNum w:abstractNumId="2" w15:restartNumberingAfterBreak="0">
    <w:nsid w:val="FFFFFF89"/>
    <w:multiLevelType w:val="singleLevel"/>
    <w:tmpl w:val="721620E2"/>
    <w:lvl w:ilvl="0">
      <w:start w:val="1"/>
      <w:numFmt w:val="bullet"/>
      <w:pStyle w:val="BSVABoxed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</w:abstractNum>
  <w:abstractNum w:abstractNumId="3" w15:restartNumberingAfterBreak="0">
    <w:nsid w:val="0D5763D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553EAF"/>
    <w:multiLevelType w:val="multilevel"/>
    <w:tmpl w:val="1D6C3FCA"/>
    <w:styleLink w:val="CurrentList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E47"/>
    <w:multiLevelType w:val="hybridMultilevel"/>
    <w:tmpl w:val="041878DA"/>
    <w:lvl w:ilvl="0" w:tplc="B50AC626">
      <w:start w:val="1"/>
      <w:numFmt w:val="lowerLetter"/>
      <w:pStyle w:val="BSVAABCList"/>
      <w:lvlText w:val="%1)"/>
      <w:lvlJc w:val="left"/>
      <w:pPr>
        <w:ind w:left="720" w:hanging="360"/>
      </w:pPr>
      <w:rPr>
        <w:rFonts w:ascii="Noto Sans" w:hAnsi="Noto Sans" w:cs="Noto Sans" w:hint="default"/>
        <w:b/>
        <w:bCs/>
        <w:i w:val="0"/>
        <w:iCs w:val="0"/>
        <w:color w:val="2C2C30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31285"/>
    <w:multiLevelType w:val="multilevel"/>
    <w:tmpl w:val="E76A5B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BDF3C63"/>
    <w:multiLevelType w:val="hybridMultilevel"/>
    <w:tmpl w:val="43AEDA16"/>
    <w:lvl w:ilvl="0" w:tplc="3720440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B4B85"/>
    <w:multiLevelType w:val="multilevel"/>
    <w:tmpl w:val="DDE06ECE"/>
    <w:lvl w:ilvl="0">
      <w:start w:val="1"/>
      <w:numFmt w:val="decimal"/>
      <w:pStyle w:val="BSVANumberedlistheadinglevel1"/>
      <w:lvlText w:val="%1."/>
      <w:lvlJc w:val="left"/>
      <w:pPr>
        <w:ind w:left="450" w:hanging="360"/>
      </w:pPr>
      <w:rPr>
        <w:rFonts w:ascii="Chillax Semibold" w:eastAsiaTheme="minorEastAsia" w:hAnsi="Chillax Semibold" w:cstheme="minorBidi" w:hint="default"/>
        <w:b w:val="0"/>
        <w:bCs w:val="0"/>
        <w:i w:val="0"/>
        <w:iCs w:val="0"/>
      </w:rPr>
    </w:lvl>
    <w:lvl w:ilvl="1">
      <w:start w:val="1"/>
      <w:numFmt w:val="decimal"/>
      <w:pStyle w:val="BSVANumberedlistheadinglevel2"/>
      <w:lvlText w:val="%1.%2."/>
      <w:lvlJc w:val="left"/>
      <w:pPr>
        <w:ind w:left="882" w:hanging="432"/>
      </w:pPr>
      <w:rPr>
        <w:rFonts w:hint="default"/>
        <w:color w:val="929292"/>
      </w:rPr>
    </w:lvl>
    <w:lvl w:ilvl="2">
      <w:start w:val="1"/>
      <w:numFmt w:val="decimal"/>
      <w:pStyle w:val="BSVANumberedlistheadinglevel3"/>
      <w:lvlText w:val="%1.%2.%3."/>
      <w:lvlJc w:val="left"/>
      <w:pPr>
        <w:ind w:left="1314" w:hanging="504"/>
      </w:pPr>
      <w:rPr>
        <w:rFonts w:hint="default"/>
        <w:color w:val="929292"/>
      </w:rPr>
    </w:lvl>
    <w:lvl w:ilvl="3">
      <w:start w:val="1"/>
      <w:numFmt w:val="decimal"/>
      <w:pStyle w:val="BSVANumberedlistheadinglevel4"/>
      <w:lvlText w:val="%1.%2.%3.%4."/>
      <w:lvlJc w:val="left"/>
      <w:pPr>
        <w:ind w:left="1818" w:hanging="648"/>
      </w:pPr>
      <w:rPr>
        <w:rFonts w:hint="default"/>
        <w:color w:val="929292"/>
      </w:rPr>
    </w:lvl>
    <w:lvl w:ilvl="4">
      <w:start w:val="1"/>
      <w:numFmt w:val="decimal"/>
      <w:pStyle w:val="Numberedlistheadinglevel4"/>
      <w:lvlText w:val="%1.%2.%3.%4.%5."/>
      <w:lvlJc w:val="left"/>
      <w:pPr>
        <w:ind w:left="2322" w:hanging="792"/>
      </w:pPr>
      <w:rPr>
        <w:rFonts w:hint="default"/>
      </w:rPr>
    </w:lvl>
    <w:lvl w:ilvl="5">
      <w:start w:val="1"/>
      <w:numFmt w:val="decimal"/>
      <w:pStyle w:val="Numberedlistheadinglevel5"/>
      <w:lvlText w:val="%1.%2.%3.%4.%5.%6."/>
      <w:lvlJc w:val="left"/>
      <w:pPr>
        <w:ind w:left="2826" w:hanging="936"/>
      </w:pPr>
      <w:rPr>
        <w:rFonts w:hint="default"/>
      </w:rPr>
    </w:lvl>
    <w:lvl w:ilvl="6">
      <w:start w:val="1"/>
      <w:numFmt w:val="decimal"/>
      <w:pStyle w:val="Numberedlistheadinglevel6"/>
      <w:lvlText w:val="%1.%2.%3.%4.%5.%6.%7."/>
      <w:lvlJc w:val="left"/>
      <w:pPr>
        <w:ind w:left="33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10" w:hanging="1440"/>
      </w:pPr>
      <w:rPr>
        <w:rFonts w:hint="default"/>
      </w:rPr>
    </w:lvl>
  </w:abstractNum>
  <w:abstractNum w:abstractNumId="9" w15:restartNumberingAfterBreak="0">
    <w:nsid w:val="621E728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0485240">
    <w:abstractNumId w:val="2"/>
  </w:num>
  <w:num w:numId="2" w16cid:durableId="857503324">
    <w:abstractNumId w:val="7"/>
  </w:num>
  <w:num w:numId="3" w16cid:durableId="1438253770">
    <w:abstractNumId w:val="4"/>
  </w:num>
  <w:num w:numId="4" w16cid:durableId="197089283">
    <w:abstractNumId w:val="1"/>
  </w:num>
  <w:num w:numId="5" w16cid:durableId="132559">
    <w:abstractNumId w:val="1"/>
    <w:lvlOverride w:ilvl="0">
      <w:startOverride w:val="1"/>
    </w:lvlOverride>
  </w:num>
  <w:num w:numId="6" w16cid:durableId="1045759637">
    <w:abstractNumId w:val="0"/>
  </w:num>
  <w:num w:numId="7" w16cid:durableId="1257179689">
    <w:abstractNumId w:val="9"/>
  </w:num>
  <w:num w:numId="8" w16cid:durableId="2097707064">
    <w:abstractNumId w:val="6"/>
  </w:num>
  <w:num w:numId="9" w16cid:durableId="2133934454">
    <w:abstractNumId w:val="3"/>
  </w:num>
  <w:num w:numId="10" w16cid:durableId="537472639">
    <w:abstractNumId w:val="8"/>
  </w:num>
  <w:num w:numId="11" w16cid:durableId="1988044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C7"/>
    <w:rsid w:val="000021F0"/>
    <w:rsid w:val="00002EB4"/>
    <w:rsid w:val="000144B1"/>
    <w:rsid w:val="0001504F"/>
    <w:rsid w:val="00027895"/>
    <w:rsid w:val="00031DB1"/>
    <w:rsid w:val="000423EC"/>
    <w:rsid w:val="00045D47"/>
    <w:rsid w:val="0005014F"/>
    <w:rsid w:val="00062815"/>
    <w:rsid w:val="00064B38"/>
    <w:rsid w:val="0006727B"/>
    <w:rsid w:val="000A1E13"/>
    <w:rsid w:val="000B2A6A"/>
    <w:rsid w:val="000B35B8"/>
    <w:rsid w:val="000B5360"/>
    <w:rsid w:val="000C0128"/>
    <w:rsid w:val="000C1ED5"/>
    <w:rsid w:val="000E4F75"/>
    <w:rsid w:val="000E59D9"/>
    <w:rsid w:val="000E73CD"/>
    <w:rsid w:val="00106FA9"/>
    <w:rsid w:val="001118E5"/>
    <w:rsid w:val="001144AA"/>
    <w:rsid w:val="0011520A"/>
    <w:rsid w:val="00134369"/>
    <w:rsid w:val="001350DF"/>
    <w:rsid w:val="001404B8"/>
    <w:rsid w:val="001423DA"/>
    <w:rsid w:val="00142570"/>
    <w:rsid w:val="001467A6"/>
    <w:rsid w:val="00157446"/>
    <w:rsid w:val="0017194B"/>
    <w:rsid w:val="001811A2"/>
    <w:rsid w:val="00195677"/>
    <w:rsid w:val="00195754"/>
    <w:rsid w:val="00197310"/>
    <w:rsid w:val="001C61ED"/>
    <w:rsid w:val="001D1E49"/>
    <w:rsid w:val="001D38FA"/>
    <w:rsid w:val="001D55F7"/>
    <w:rsid w:val="001D6BB8"/>
    <w:rsid w:val="001E1492"/>
    <w:rsid w:val="001F288B"/>
    <w:rsid w:val="001F603F"/>
    <w:rsid w:val="001F75FA"/>
    <w:rsid w:val="0020652D"/>
    <w:rsid w:val="0020786C"/>
    <w:rsid w:val="002214A2"/>
    <w:rsid w:val="0022191A"/>
    <w:rsid w:val="00222788"/>
    <w:rsid w:val="0022433C"/>
    <w:rsid w:val="00224883"/>
    <w:rsid w:val="00224AC3"/>
    <w:rsid w:val="002308B0"/>
    <w:rsid w:val="002355C2"/>
    <w:rsid w:val="002523D9"/>
    <w:rsid w:val="002614DE"/>
    <w:rsid w:val="00266778"/>
    <w:rsid w:val="002756C8"/>
    <w:rsid w:val="00282DC9"/>
    <w:rsid w:val="00293598"/>
    <w:rsid w:val="002957F7"/>
    <w:rsid w:val="002968C4"/>
    <w:rsid w:val="002A57DE"/>
    <w:rsid w:val="002A58C2"/>
    <w:rsid w:val="002B2A22"/>
    <w:rsid w:val="002C055D"/>
    <w:rsid w:val="002D734C"/>
    <w:rsid w:val="002F0634"/>
    <w:rsid w:val="002F6B10"/>
    <w:rsid w:val="003056B0"/>
    <w:rsid w:val="00311FE8"/>
    <w:rsid w:val="00313E72"/>
    <w:rsid w:val="00314134"/>
    <w:rsid w:val="00316E4D"/>
    <w:rsid w:val="003243E2"/>
    <w:rsid w:val="00362616"/>
    <w:rsid w:val="00374920"/>
    <w:rsid w:val="00375D67"/>
    <w:rsid w:val="00394BA5"/>
    <w:rsid w:val="0039785E"/>
    <w:rsid w:val="003A05B2"/>
    <w:rsid w:val="003D4DA1"/>
    <w:rsid w:val="003E1A5E"/>
    <w:rsid w:val="003E306E"/>
    <w:rsid w:val="003E776A"/>
    <w:rsid w:val="003F68FE"/>
    <w:rsid w:val="00407FBD"/>
    <w:rsid w:val="00425056"/>
    <w:rsid w:val="00443C6D"/>
    <w:rsid w:val="00455BD6"/>
    <w:rsid w:val="00460383"/>
    <w:rsid w:val="004621A6"/>
    <w:rsid w:val="00465818"/>
    <w:rsid w:val="004669C2"/>
    <w:rsid w:val="00480E2F"/>
    <w:rsid w:val="00483060"/>
    <w:rsid w:val="0049185B"/>
    <w:rsid w:val="00496FF3"/>
    <w:rsid w:val="004A01E1"/>
    <w:rsid w:val="004B7AFA"/>
    <w:rsid w:val="004D3A67"/>
    <w:rsid w:val="004F2FF1"/>
    <w:rsid w:val="004F5787"/>
    <w:rsid w:val="00502844"/>
    <w:rsid w:val="00505B70"/>
    <w:rsid w:val="00521406"/>
    <w:rsid w:val="00525084"/>
    <w:rsid w:val="00534843"/>
    <w:rsid w:val="0053620E"/>
    <w:rsid w:val="00540375"/>
    <w:rsid w:val="005419EB"/>
    <w:rsid w:val="00542EC2"/>
    <w:rsid w:val="00547E1F"/>
    <w:rsid w:val="00547E3A"/>
    <w:rsid w:val="005529DB"/>
    <w:rsid w:val="005552AB"/>
    <w:rsid w:val="00557F1A"/>
    <w:rsid w:val="00560C75"/>
    <w:rsid w:val="00572F54"/>
    <w:rsid w:val="0058353D"/>
    <w:rsid w:val="005A2C80"/>
    <w:rsid w:val="005A5C06"/>
    <w:rsid w:val="005B0D7A"/>
    <w:rsid w:val="005C57D4"/>
    <w:rsid w:val="005C5E41"/>
    <w:rsid w:val="005D58C6"/>
    <w:rsid w:val="005D6DE0"/>
    <w:rsid w:val="005D72CE"/>
    <w:rsid w:val="005D75BA"/>
    <w:rsid w:val="005E517F"/>
    <w:rsid w:val="005E5458"/>
    <w:rsid w:val="005F3275"/>
    <w:rsid w:val="00602B8C"/>
    <w:rsid w:val="00603D02"/>
    <w:rsid w:val="00610659"/>
    <w:rsid w:val="0061559C"/>
    <w:rsid w:val="006379EF"/>
    <w:rsid w:val="006416B8"/>
    <w:rsid w:val="00642B21"/>
    <w:rsid w:val="006546EF"/>
    <w:rsid w:val="0069031F"/>
    <w:rsid w:val="006913AA"/>
    <w:rsid w:val="006A047C"/>
    <w:rsid w:val="006A2540"/>
    <w:rsid w:val="006B3377"/>
    <w:rsid w:val="006C3157"/>
    <w:rsid w:val="006C35B3"/>
    <w:rsid w:val="006D45A8"/>
    <w:rsid w:val="006D4C86"/>
    <w:rsid w:val="006E6B34"/>
    <w:rsid w:val="006F05C3"/>
    <w:rsid w:val="007006FF"/>
    <w:rsid w:val="0073322D"/>
    <w:rsid w:val="00743E87"/>
    <w:rsid w:val="00751EA8"/>
    <w:rsid w:val="00761886"/>
    <w:rsid w:val="00766929"/>
    <w:rsid w:val="00774DAC"/>
    <w:rsid w:val="007910B8"/>
    <w:rsid w:val="007A5C52"/>
    <w:rsid w:val="007B1C6E"/>
    <w:rsid w:val="007C4335"/>
    <w:rsid w:val="007F632B"/>
    <w:rsid w:val="00803DAE"/>
    <w:rsid w:val="008050A8"/>
    <w:rsid w:val="00811721"/>
    <w:rsid w:val="008138D4"/>
    <w:rsid w:val="00820F68"/>
    <w:rsid w:val="00853C45"/>
    <w:rsid w:val="00862647"/>
    <w:rsid w:val="00862F4F"/>
    <w:rsid w:val="0087570B"/>
    <w:rsid w:val="008812E2"/>
    <w:rsid w:val="008A0190"/>
    <w:rsid w:val="008A3930"/>
    <w:rsid w:val="008B1D72"/>
    <w:rsid w:val="008B5B99"/>
    <w:rsid w:val="008C0552"/>
    <w:rsid w:val="008C2505"/>
    <w:rsid w:val="008C399B"/>
    <w:rsid w:val="008D53DC"/>
    <w:rsid w:val="008F11FE"/>
    <w:rsid w:val="00906F62"/>
    <w:rsid w:val="009221E8"/>
    <w:rsid w:val="00934C8B"/>
    <w:rsid w:val="00936557"/>
    <w:rsid w:val="00941C6C"/>
    <w:rsid w:val="00951107"/>
    <w:rsid w:val="00960B76"/>
    <w:rsid w:val="00965730"/>
    <w:rsid w:val="00993EB6"/>
    <w:rsid w:val="009C3274"/>
    <w:rsid w:val="009D68B2"/>
    <w:rsid w:val="009D7F24"/>
    <w:rsid w:val="009F0EED"/>
    <w:rsid w:val="00A0203F"/>
    <w:rsid w:val="00A12220"/>
    <w:rsid w:val="00A1272D"/>
    <w:rsid w:val="00A12D02"/>
    <w:rsid w:val="00A238C9"/>
    <w:rsid w:val="00A27BA5"/>
    <w:rsid w:val="00A33FC4"/>
    <w:rsid w:val="00A52F19"/>
    <w:rsid w:val="00A754FA"/>
    <w:rsid w:val="00A85C57"/>
    <w:rsid w:val="00A87BEC"/>
    <w:rsid w:val="00A91248"/>
    <w:rsid w:val="00A96D59"/>
    <w:rsid w:val="00AA2E6D"/>
    <w:rsid w:val="00AA392B"/>
    <w:rsid w:val="00AA62BD"/>
    <w:rsid w:val="00AB4A51"/>
    <w:rsid w:val="00AC347B"/>
    <w:rsid w:val="00AC51B6"/>
    <w:rsid w:val="00AD1D10"/>
    <w:rsid w:val="00AD557F"/>
    <w:rsid w:val="00AD7E23"/>
    <w:rsid w:val="00AE07DA"/>
    <w:rsid w:val="00B018BA"/>
    <w:rsid w:val="00B05B13"/>
    <w:rsid w:val="00B11FCB"/>
    <w:rsid w:val="00B1389F"/>
    <w:rsid w:val="00B15F7D"/>
    <w:rsid w:val="00B16489"/>
    <w:rsid w:val="00B41D71"/>
    <w:rsid w:val="00B5167E"/>
    <w:rsid w:val="00B54314"/>
    <w:rsid w:val="00B553B7"/>
    <w:rsid w:val="00B606D2"/>
    <w:rsid w:val="00B62205"/>
    <w:rsid w:val="00B6549C"/>
    <w:rsid w:val="00B7184F"/>
    <w:rsid w:val="00B71CE9"/>
    <w:rsid w:val="00B757C7"/>
    <w:rsid w:val="00B81898"/>
    <w:rsid w:val="00B94BE1"/>
    <w:rsid w:val="00B97EF8"/>
    <w:rsid w:val="00BA4ACB"/>
    <w:rsid w:val="00BB13BE"/>
    <w:rsid w:val="00BC532E"/>
    <w:rsid w:val="00BD2823"/>
    <w:rsid w:val="00BD3806"/>
    <w:rsid w:val="00BD4274"/>
    <w:rsid w:val="00BD6F0D"/>
    <w:rsid w:val="00BE08B1"/>
    <w:rsid w:val="00BF18AA"/>
    <w:rsid w:val="00BF2F8B"/>
    <w:rsid w:val="00C01C44"/>
    <w:rsid w:val="00C0453C"/>
    <w:rsid w:val="00C11B64"/>
    <w:rsid w:val="00C43A9D"/>
    <w:rsid w:val="00C54046"/>
    <w:rsid w:val="00C56297"/>
    <w:rsid w:val="00C6289A"/>
    <w:rsid w:val="00C84191"/>
    <w:rsid w:val="00C933B8"/>
    <w:rsid w:val="00CA1817"/>
    <w:rsid w:val="00CA6F4D"/>
    <w:rsid w:val="00CD2C2B"/>
    <w:rsid w:val="00CD3091"/>
    <w:rsid w:val="00CF45CA"/>
    <w:rsid w:val="00CF51C9"/>
    <w:rsid w:val="00CF637A"/>
    <w:rsid w:val="00CF7933"/>
    <w:rsid w:val="00D04C53"/>
    <w:rsid w:val="00D066DD"/>
    <w:rsid w:val="00D15070"/>
    <w:rsid w:val="00D2075B"/>
    <w:rsid w:val="00D274F6"/>
    <w:rsid w:val="00D27587"/>
    <w:rsid w:val="00D46306"/>
    <w:rsid w:val="00D65087"/>
    <w:rsid w:val="00D855D6"/>
    <w:rsid w:val="00DC446A"/>
    <w:rsid w:val="00DC4B42"/>
    <w:rsid w:val="00DF1797"/>
    <w:rsid w:val="00E0177A"/>
    <w:rsid w:val="00E40560"/>
    <w:rsid w:val="00E52325"/>
    <w:rsid w:val="00E65966"/>
    <w:rsid w:val="00E709F3"/>
    <w:rsid w:val="00E77406"/>
    <w:rsid w:val="00E84961"/>
    <w:rsid w:val="00E90ABA"/>
    <w:rsid w:val="00E93567"/>
    <w:rsid w:val="00EA2346"/>
    <w:rsid w:val="00EC2E05"/>
    <w:rsid w:val="00ED5AA4"/>
    <w:rsid w:val="00ED6DA0"/>
    <w:rsid w:val="00EE7054"/>
    <w:rsid w:val="00EF64D5"/>
    <w:rsid w:val="00F01D04"/>
    <w:rsid w:val="00F042A6"/>
    <w:rsid w:val="00F14103"/>
    <w:rsid w:val="00F20D3A"/>
    <w:rsid w:val="00F45876"/>
    <w:rsid w:val="00F46585"/>
    <w:rsid w:val="00F61EC7"/>
    <w:rsid w:val="00F667A7"/>
    <w:rsid w:val="00F71BFE"/>
    <w:rsid w:val="00F75B45"/>
    <w:rsid w:val="00F84FC2"/>
    <w:rsid w:val="00F86236"/>
    <w:rsid w:val="00F87A49"/>
    <w:rsid w:val="00F90053"/>
    <w:rsid w:val="00F9441A"/>
    <w:rsid w:val="00FA4508"/>
    <w:rsid w:val="00FB2FBA"/>
    <w:rsid w:val="00FB450A"/>
    <w:rsid w:val="00FD51EC"/>
    <w:rsid w:val="00FE12AD"/>
    <w:rsid w:val="00FE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EB650"/>
  <w15:chartTrackingRefBased/>
  <w15:docId w15:val="{5CD8063E-6EFB-444B-8213-F2B429D5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SVA | Body Copy"/>
    <w:qFormat/>
    <w:rsid w:val="0011520A"/>
    <w:pPr>
      <w:spacing w:line="240" w:lineRule="auto"/>
    </w:pPr>
    <w:rPr>
      <w:rFonts w:ascii="Noto Sans" w:hAnsi="Noto Sans" w:cs="Noto Sans"/>
      <w:color w:val="2C2C30" w:themeColor="text2"/>
      <w:spacing w:val="2"/>
      <w:sz w:val="20"/>
      <w:szCs w:val="20"/>
    </w:rPr>
  </w:style>
  <w:style w:type="paragraph" w:styleId="Heading1">
    <w:name w:val="heading 1"/>
    <w:aliases w:val="BSVA | Heading 1"/>
    <w:basedOn w:val="Normal"/>
    <w:next w:val="Normal"/>
    <w:link w:val="Heading1Char"/>
    <w:uiPriority w:val="9"/>
    <w:qFormat/>
    <w:rsid w:val="003A05B2"/>
    <w:pPr>
      <w:spacing w:before="400" w:line="440" w:lineRule="exact"/>
      <w:outlineLvl w:val="0"/>
    </w:pPr>
    <w:rPr>
      <w:rFonts w:ascii="Chillax Semibold" w:hAnsi="Chillax Semibold" w:cs="Noto Sans SemBd"/>
      <w:color w:val="1B1EA9" w:themeColor="accent2"/>
      <w:sz w:val="36"/>
      <w:szCs w:val="36"/>
    </w:rPr>
  </w:style>
  <w:style w:type="paragraph" w:styleId="Heading2">
    <w:name w:val="heading 2"/>
    <w:aliases w:val="BSVA | Heading 2"/>
    <w:basedOn w:val="Normal"/>
    <w:next w:val="Normal"/>
    <w:link w:val="Heading2Char"/>
    <w:uiPriority w:val="9"/>
    <w:unhideWhenUsed/>
    <w:qFormat/>
    <w:rsid w:val="006D45A8"/>
    <w:pPr>
      <w:spacing w:before="400" w:line="400" w:lineRule="exact"/>
      <w:outlineLvl w:val="1"/>
    </w:pPr>
    <w:rPr>
      <w:rFonts w:ascii="Chillax Semibold" w:hAnsi="Chillax Semibold" w:cs="Noto Sans SemBd"/>
      <w:sz w:val="32"/>
      <w:szCs w:val="32"/>
    </w:rPr>
  </w:style>
  <w:style w:type="paragraph" w:styleId="Heading3">
    <w:name w:val="heading 3"/>
    <w:aliases w:val="BSVA | Heading 3"/>
    <w:basedOn w:val="Normal"/>
    <w:next w:val="Normal"/>
    <w:link w:val="Heading3Char"/>
    <w:uiPriority w:val="9"/>
    <w:unhideWhenUsed/>
    <w:qFormat/>
    <w:rsid w:val="00936557"/>
    <w:pPr>
      <w:spacing w:before="400" w:line="380" w:lineRule="exact"/>
      <w:outlineLvl w:val="2"/>
    </w:pPr>
    <w:rPr>
      <w:rFonts w:ascii="Chillax Semibold" w:hAnsi="Chillax Semibold" w:cs="Noto Sans SemBd"/>
      <w:sz w:val="28"/>
      <w:szCs w:val="28"/>
    </w:rPr>
  </w:style>
  <w:style w:type="paragraph" w:styleId="Heading4">
    <w:name w:val="heading 4"/>
    <w:aliases w:val="BSVA | Heading 4"/>
    <w:basedOn w:val="Normal"/>
    <w:next w:val="Normal"/>
    <w:link w:val="Heading4Char"/>
    <w:uiPriority w:val="9"/>
    <w:unhideWhenUsed/>
    <w:qFormat/>
    <w:rsid w:val="00936557"/>
    <w:pPr>
      <w:spacing w:before="400" w:line="340" w:lineRule="exact"/>
      <w:outlineLvl w:val="3"/>
    </w:pPr>
    <w:rPr>
      <w:rFonts w:ascii="Chillax Semibold" w:hAnsi="Chillax Semibold" w:cs="Noto Sans Sem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FF"/>
    <w:pPr>
      <w:keepNext/>
      <w:keepLines/>
      <w:spacing w:before="80" w:after="40"/>
      <w:outlineLvl w:val="4"/>
    </w:pPr>
    <w:rPr>
      <w:rFonts w:eastAsiaTheme="majorEastAsia" w:cstheme="majorBidi"/>
      <w:color w:val="6388F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SVA | Heading 1 Char"/>
    <w:basedOn w:val="DefaultParagraphFont"/>
    <w:link w:val="Heading1"/>
    <w:uiPriority w:val="9"/>
    <w:rsid w:val="003A05B2"/>
    <w:rPr>
      <w:rFonts w:ascii="Chillax Semibold" w:hAnsi="Chillax Semibold" w:cs="Noto Sans SemBd"/>
      <w:color w:val="1B1EA9" w:themeColor="accent2"/>
      <w:spacing w:val="2"/>
      <w:sz w:val="36"/>
      <w:szCs w:val="36"/>
    </w:rPr>
  </w:style>
  <w:style w:type="character" w:customStyle="1" w:styleId="Heading2Char">
    <w:name w:val="Heading 2 Char"/>
    <w:aliases w:val="BSVA | Heading 2 Char"/>
    <w:basedOn w:val="DefaultParagraphFont"/>
    <w:link w:val="Heading2"/>
    <w:uiPriority w:val="9"/>
    <w:rsid w:val="006D45A8"/>
    <w:rPr>
      <w:rFonts w:ascii="Chillax Semibold" w:hAnsi="Chillax Semibold" w:cs="Noto Sans SemBd"/>
      <w:color w:val="2C2C30" w:themeColor="text2"/>
      <w:spacing w:val="2"/>
      <w:sz w:val="32"/>
      <w:szCs w:val="32"/>
    </w:rPr>
  </w:style>
  <w:style w:type="character" w:customStyle="1" w:styleId="Heading3Char">
    <w:name w:val="Heading 3 Char"/>
    <w:aliases w:val="BSVA | Heading 3 Char"/>
    <w:basedOn w:val="DefaultParagraphFont"/>
    <w:link w:val="Heading3"/>
    <w:uiPriority w:val="9"/>
    <w:rsid w:val="00936557"/>
    <w:rPr>
      <w:rFonts w:ascii="Chillax Semibold" w:hAnsi="Chillax Semibold" w:cs="Noto Sans SemBd"/>
      <w:color w:val="2C2C30" w:themeColor="text2"/>
      <w:spacing w:val="2"/>
      <w:sz w:val="28"/>
      <w:szCs w:val="28"/>
    </w:rPr>
  </w:style>
  <w:style w:type="character" w:customStyle="1" w:styleId="Heading4Char">
    <w:name w:val="Heading 4 Char"/>
    <w:aliases w:val="BSVA | Heading 4 Char"/>
    <w:basedOn w:val="DefaultParagraphFont"/>
    <w:link w:val="Heading4"/>
    <w:uiPriority w:val="9"/>
    <w:rsid w:val="00936557"/>
    <w:rPr>
      <w:rFonts w:ascii="Chillax Semibold" w:hAnsi="Chillax Semibold" w:cs="Noto Sans SemBd"/>
      <w:color w:val="2C2C30" w:themeColor="text2"/>
      <w:spacing w:val="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FF"/>
    <w:rPr>
      <w:rFonts w:eastAsiaTheme="majorEastAsia" w:cstheme="majorBidi"/>
      <w:color w:val="6388F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BSVA | Quote Body"/>
    <w:basedOn w:val="Normal"/>
    <w:next w:val="Normal"/>
    <w:link w:val="QuoteChar"/>
    <w:uiPriority w:val="29"/>
    <w:qFormat/>
    <w:rsid w:val="002957F7"/>
    <w:rPr>
      <w:color w:val="1B1EA9" w:themeColor="accent2"/>
    </w:rPr>
  </w:style>
  <w:style w:type="character" w:customStyle="1" w:styleId="QuoteChar">
    <w:name w:val="Quote Char"/>
    <w:aliases w:val="BSVA | Quote Body Char"/>
    <w:basedOn w:val="DefaultParagraphFont"/>
    <w:link w:val="Quote"/>
    <w:uiPriority w:val="29"/>
    <w:rsid w:val="002957F7"/>
    <w:rPr>
      <w:rFonts w:ascii="Noto Sans" w:hAnsi="Noto Sans" w:cs="Noto Sans"/>
      <w:color w:val="1B1EA9" w:themeColor="accent2"/>
      <w:spacing w:val="2"/>
      <w:sz w:val="20"/>
      <w:szCs w:val="20"/>
    </w:rPr>
  </w:style>
  <w:style w:type="paragraph" w:styleId="ListParagraph">
    <w:name w:val="List Paragraph"/>
    <w:basedOn w:val="Normal"/>
    <w:uiPriority w:val="34"/>
    <w:qFormat/>
    <w:rsid w:val="0070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FF"/>
    <w:rPr>
      <w:i/>
      <w:iCs/>
      <w:color w:val="6388F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FF"/>
    <w:pPr>
      <w:pBdr>
        <w:top w:val="single" w:sz="4" w:space="10" w:color="6388FF" w:themeColor="accent1" w:themeShade="BF"/>
        <w:bottom w:val="single" w:sz="4" w:space="10" w:color="6388FF" w:themeColor="accent1" w:themeShade="BF"/>
      </w:pBdr>
      <w:spacing w:before="360" w:after="360"/>
      <w:ind w:left="864" w:right="864"/>
      <w:jc w:val="center"/>
    </w:pPr>
    <w:rPr>
      <w:i/>
      <w:iCs/>
      <w:color w:val="638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FF"/>
    <w:rPr>
      <w:i/>
      <w:iCs/>
      <w:color w:val="6388F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FF"/>
    <w:rPr>
      <w:b/>
      <w:bCs/>
      <w:smallCaps/>
      <w:color w:val="6388FF" w:themeColor="accent1" w:themeShade="BF"/>
      <w:spacing w:val="5"/>
    </w:rPr>
  </w:style>
  <w:style w:type="paragraph" w:styleId="Header">
    <w:name w:val="header"/>
    <w:aliases w:val="BSVA | Header"/>
    <w:basedOn w:val="Normal"/>
    <w:link w:val="HeaderChar"/>
    <w:uiPriority w:val="99"/>
    <w:unhideWhenUsed/>
    <w:rsid w:val="00E709F3"/>
    <w:pPr>
      <w:tabs>
        <w:tab w:val="center" w:pos="4513"/>
        <w:tab w:val="right" w:pos="9026"/>
      </w:tabs>
      <w:spacing w:after="0"/>
    </w:pPr>
    <w:rPr>
      <w:b/>
      <w:bCs/>
      <w:noProof/>
      <w:sz w:val="14"/>
      <w:szCs w:val="14"/>
    </w:rPr>
  </w:style>
  <w:style w:type="character" w:customStyle="1" w:styleId="HeaderChar">
    <w:name w:val="Header Char"/>
    <w:aliases w:val="BSVA | Header Char"/>
    <w:basedOn w:val="DefaultParagraphFont"/>
    <w:link w:val="Header"/>
    <w:uiPriority w:val="99"/>
    <w:rsid w:val="00E709F3"/>
    <w:rPr>
      <w:rFonts w:ascii="Noto Sans" w:hAnsi="Noto Sans" w:cs="Noto Sans"/>
      <w:b/>
      <w:bCs/>
      <w:noProof/>
      <w:color w:val="2C2C30" w:themeColor="text2"/>
      <w:spacing w:val="2"/>
      <w:sz w:val="14"/>
      <w:szCs w:val="14"/>
    </w:rPr>
  </w:style>
  <w:style w:type="paragraph" w:styleId="Footer">
    <w:name w:val="footer"/>
    <w:aliases w:val="BSVA | Footer"/>
    <w:basedOn w:val="Normal"/>
    <w:link w:val="FooterChar"/>
    <w:uiPriority w:val="99"/>
    <w:unhideWhenUsed/>
    <w:rsid w:val="00BC532E"/>
    <w:pPr>
      <w:tabs>
        <w:tab w:val="center" w:pos="4513"/>
        <w:tab w:val="right" w:pos="9026"/>
      </w:tabs>
      <w:spacing w:after="0"/>
    </w:pPr>
    <w:rPr>
      <w:sz w:val="14"/>
      <w:szCs w:val="14"/>
    </w:rPr>
  </w:style>
  <w:style w:type="character" w:customStyle="1" w:styleId="FooterChar">
    <w:name w:val="Footer Char"/>
    <w:aliases w:val="BSVA | Footer Char"/>
    <w:basedOn w:val="DefaultParagraphFont"/>
    <w:link w:val="Footer"/>
    <w:uiPriority w:val="99"/>
    <w:rsid w:val="00BC532E"/>
    <w:rPr>
      <w:rFonts w:ascii="Noto Sans" w:hAnsi="Noto Sans" w:cs="Noto Sans"/>
      <w:sz w:val="14"/>
      <w:szCs w:val="14"/>
    </w:rPr>
  </w:style>
  <w:style w:type="paragraph" w:customStyle="1" w:styleId="BSVACoverTitle">
    <w:name w:val="BSVA | Cover Title"/>
    <w:basedOn w:val="Normal"/>
    <w:qFormat/>
    <w:rsid w:val="009D7F24"/>
    <w:pPr>
      <w:spacing w:before="11600" w:after="0" w:line="500" w:lineRule="exact"/>
    </w:pPr>
    <w:rPr>
      <w:rFonts w:ascii="Chillax Semibold" w:hAnsi="Chillax Semibold"/>
      <w:b/>
      <w:bCs/>
      <w:sz w:val="60"/>
      <w:szCs w:val="60"/>
    </w:rPr>
  </w:style>
  <w:style w:type="paragraph" w:customStyle="1" w:styleId="BSVACoverSubtitle">
    <w:name w:val="BSVA | Cover Subtitle"/>
    <w:basedOn w:val="BSVACoverTitle"/>
    <w:qFormat/>
    <w:rsid w:val="009D7F24"/>
    <w:pPr>
      <w:spacing w:before="300"/>
    </w:pPr>
    <w:rPr>
      <w:rFonts w:ascii="Noto Sans" w:hAnsi="Noto Sans"/>
      <w:b w:val="0"/>
      <w:bCs w:val="0"/>
      <w:color w:val="003FFF" w:themeColor="accent3"/>
      <w:sz w:val="56"/>
      <w:szCs w:val="56"/>
    </w:rPr>
  </w:style>
  <w:style w:type="paragraph" w:customStyle="1" w:styleId="BSVACoverVersionDescription">
    <w:name w:val="BSVA | Cover Version Description"/>
    <w:basedOn w:val="BSVACoverSubtitle"/>
    <w:qFormat/>
    <w:rsid w:val="00BD2823"/>
    <w:rPr>
      <w:color w:val="2C2C30" w:themeColor="text2"/>
      <w:sz w:val="36"/>
      <w:szCs w:val="36"/>
    </w:rPr>
  </w:style>
  <w:style w:type="paragraph" w:customStyle="1" w:styleId="BSVACoverDate">
    <w:name w:val="BSVA | Cover Date"/>
    <w:basedOn w:val="BSVACoverVersionDescription"/>
    <w:qFormat/>
    <w:rsid w:val="00BD2823"/>
    <w:pPr>
      <w:spacing w:before="120" w:line="240" w:lineRule="auto"/>
    </w:pPr>
    <w:rPr>
      <w:sz w:val="20"/>
      <w:szCs w:val="20"/>
    </w:rPr>
  </w:style>
  <w:style w:type="paragraph" w:styleId="TOCHeading">
    <w:name w:val="TOC Heading"/>
    <w:aliases w:val="BSVA | TOC Heading"/>
    <w:basedOn w:val="Normal"/>
    <w:next w:val="Normal"/>
    <w:uiPriority w:val="39"/>
    <w:unhideWhenUsed/>
    <w:qFormat/>
    <w:rsid w:val="00AE07DA"/>
    <w:pPr>
      <w:spacing w:after="200" w:line="400" w:lineRule="exact"/>
    </w:pPr>
    <w:rPr>
      <w:rFonts w:ascii="Chillax Semibold" w:hAnsi="Chillax Semibold"/>
      <w:b/>
      <w:bCs/>
      <w:color w:val="1B1EA9" w:themeColor="accent2"/>
      <w:sz w:val="36"/>
      <w:szCs w:val="36"/>
    </w:rPr>
  </w:style>
  <w:style w:type="character" w:styleId="Strong">
    <w:name w:val="Strong"/>
    <w:aliases w:val="BSVA | Strong"/>
    <w:basedOn w:val="DefaultParagraphFont"/>
    <w:uiPriority w:val="22"/>
    <w:qFormat/>
    <w:rsid w:val="00FB450A"/>
    <w:rPr>
      <w:b/>
      <w:bCs/>
    </w:rPr>
  </w:style>
  <w:style w:type="paragraph" w:styleId="ListBullet">
    <w:name w:val="List Bullet"/>
    <w:aliases w:val="BSVA | List Bullet 1,SF | List Bullet"/>
    <w:basedOn w:val="Normal"/>
    <w:uiPriority w:val="99"/>
    <w:unhideWhenUsed/>
    <w:rsid w:val="000021F0"/>
    <w:pPr>
      <w:numPr>
        <w:numId w:val="2"/>
      </w:numPr>
      <w:tabs>
        <w:tab w:val="clear" w:pos="360"/>
      </w:tabs>
      <w:spacing w:after="100"/>
      <w:ind w:left="278" w:hanging="278"/>
    </w:pPr>
  </w:style>
  <w:style w:type="numbering" w:customStyle="1" w:styleId="CurrentList1">
    <w:name w:val="Current List1"/>
    <w:uiPriority w:val="99"/>
    <w:rsid w:val="000021F0"/>
    <w:pPr>
      <w:numPr>
        <w:numId w:val="3"/>
      </w:numPr>
    </w:pPr>
  </w:style>
  <w:style w:type="paragraph" w:styleId="ListBullet2">
    <w:name w:val="List Bullet 2"/>
    <w:aliases w:val="BSVA | List Bullet 2"/>
    <w:basedOn w:val="Normal"/>
    <w:uiPriority w:val="99"/>
    <w:unhideWhenUsed/>
    <w:rsid w:val="001D38FA"/>
    <w:pPr>
      <w:numPr>
        <w:numId w:val="4"/>
      </w:numPr>
      <w:tabs>
        <w:tab w:val="clear" w:pos="643"/>
      </w:tabs>
      <w:spacing w:after="100"/>
      <w:ind w:left="590" w:hanging="306"/>
      <w:contextualSpacing/>
    </w:pPr>
  </w:style>
  <w:style w:type="paragraph" w:styleId="ListBullet3">
    <w:name w:val="List Bullet 3"/>
    <w:aliases w:val="BSVA | List Bullet 3"/>
    <w:basedOn w:val="Normal"/>
    <w:uiPriority w:val="99"/>
    <w:unhideWhenUsed/>
    <w:rsid w:val="00BD3806"/>
    <w:pPr>
      <w:numPr>
        <w:numId w:val="6"/>
      </w:numPr>
      <w:spacing w:after="100"/>
      <w:ind w:left="924" w:hanging="357"/>
    </w:pPr>
  </w:style>
  <w:style w:type="character" w:styleId="Hyperlink">
    <w:name w:val="Hyperlink"/>
    <w:aliases w:val="BSVA | Hyperlink"/>
    <w:basedOn w:val="DefaultParagraphFont"/>
    <w:uiPriority w:val="99"/>
    <w:unhideWhenUsed/>
    <w:rsid w:val="00B16489"/>
    <w:rPr>
      <w:color w:val="1B1EA9" w:themeColor="accent2"/>
      <w:u w:val="single"/>
    </w:rPr>
  </w:style>
  <w:style w:type="character" w:styleId="FollowedHyperlink">
    <w:name w:val="FollowedHyperlink"/>
    <w:aliases w:val="BSVA | FollowedHyperlink"/>
    <w:basedOn w:val="FootnoteReference"/>
    <w:uiPriority w:val="99"/>
    <w:unhideWhenUsed/>
    <w:rsid w:val="004F5787"/>
    <w:rPr>
      <w:rFonts w:ascii="Noto Sans SemBd" w:hAnsi="Noto Sans SemBd" w:cs="Noto Sans SemBd"/>
      <w:b/>
      <w:bCs/>
      <w:color w:val="1B1EA9" w:themeColor="accent2"/>
      <w:sz w:val="22"/>
      <w:szCs w:val="22"/>
      <w:vertAlign w:val="superscript"/>
    </w:rPr>
  </w:style>
  <w:style w:type="character" w:styleId="PageNumber">
    <w:name w:val="page number"/>
    <w:aliases w:val="BSVA | Page Number"/>
    <w:uiPriority w:val="99"/>
    <w:unhideWhenUsed/>
    <w:rsid w:val="00293598"/>
  </w:style>
  <w:style w:type="paragraph" w:styleId="FootnoteText">
    <w:name w:val="footnote text"/>
    <w:aliases w:val="BSVA | Footnote Text"/>
    <w:basedOn w:val="Normal"/>
    <w:link w:val="FootnoteTextChar"/>
    <w:uiPriority w:val="99"/>
    <w:unhideWhenUsed/>
    <w:rsid w:val="005D6DE0"/>
    <w:pPr>
      <w:spacing w:after="40"/>
      <w:ind w:left="113" w:hanging="113"/>
    </w:pPr>
    <w:rPr>
      <w:sz w:val="16"/>
      <w:szCs w:val="16"/>
    </w:rPr>
  </w:style>
  <w:style w:type="character" w:customStyle="1" w:styleId="FootnoteTextChar">
    <w:name w:val="Footnote Text Char"/>
    <w:aliases w:val="BSVA | Footnote Text Char"/>
    <w:basedOn w:val="DefaultParagraphFont"/>
    <w:link w:val="FootnoteText"/>
    <w:uiPriority w:val="99"/>
    <w:rsid w:val="005D6DE0"/>
    <w:rPr>
      <w:rFonts w:ascii="Noto Sans" w:hAnsi="Noto Sans" w:cs="Noto Sans"/>
      <w:color w:val="2C2C30" w:themeColor="text2"/>
      <w:spacing w:val="2"/>
      <w:sz w:val="16"/>
      <w:szCs w:val="16"/>
    </w:rPr>
  </w:style>
  <w:style w:type="character" w:styleId="FootnoteReference">
    <w:name w:val="footnote reference"/>
    <w:aliases w:val="BSVA | Footnote Reference"/>
    <w:basedOn w:val="DefaultParagraphFont"/>
    <w:uiPriority w:val="99"/>
    <w:unhideWhenUsed/>
    <w:rsid w:val="00D65087"/>
    <w:rPr>
      <w:rFonts w:ascii="Noto Sans SemBd" w:hAnsi="Noto Sans SemBd" w:cs="Noto Sans SemBd"/>
      <w:b/>
      <w:bCs/>
      <w:color w:val="1B1EA9" w:themeColor="accent2"/>
      <w:vertAlign w:val="superscript"/>
    </w:rPr>
  </w:style>
  <w:style w:type="paragraph" w:customStyle="1" w:styleId="BSVAIntroduction">
    <w:name w:val="BSVA | Introduction"/>
    <w:basedOn w:val="Normal"/>
    <w:qFormat/>
    <w:rsid w:val="009F0EED"/>
    <w:pPr>
      <w:spacing w:after="280"/>
    </w:pPr>
    <w:rPr>
      <w:rFonts w:ascii="Noto Sans SemBd" w:hAnsi="Noto Sans SemBd" w:cs="Noto Sans SemBd"/>
      <w:b/>
      <w:bCs/>
      <w:sz w:val="24"/>
      <w:szCs w:val="24"/>
    </w:rPr>
  </w:style>
  <w:style w:type="paragraph" w:customStyle="1" w:styleId="BSVAQuote">
    <w:name w:val="BSVA | Quote"/>
    <w:basedOn w:val="Normal"/>
    <w:qFormat/>
    <w:rsid w:val="00F90053"/>
    <w:pPr>
      <w:spacing w:before="160"/>
    </w:pPr>
    <w:rPr>
      <w:rFonts w:ascii="Chillax Semibold" w:hAnsi="Chillax Semibold" w:cs="Noto Sans SemBd"/>
      <w:b/>
      <w:bCs/>
      <w:color w:val="003FFF" w:themeColor="accent3"/>
      <w:sz w:val="28"/>
      <w:szCs w:val="28"/>
    </w:rPr>
  </w:style>
  <w:style w:type="paragraph" w:customStyle="1" w:styleId="BSVASectionDividerHeading">
    <w:name w:val="BSVA | Section Divider Heading"/>
    <w:basedOn w:val="Normal"/>
    <w:qFormat/>
    <w:rsid w:val="00483060"/>
    <w:pPr>
      <w:spacing w:before="1200" w:after="0" w:line="760" w:lineRule="exact"/>
      <w:ind w:right="1956"/>
    </w:pPr>
    <w:rPr>
      <w:rFonts w:ascii="Chillax Semibold" w:hAnsi="Chillax Semibold" w:cs="Noto Sans SemBd"/>
      <w:b/>
      <w:bCs/>
      <w:color w:val="003FFF" w:themeColor="accent3"/>
      <w:sz w:val="60"/>
      <w:szCs w:val="60"/>
    </w:rPr>
  </w:style>
  <w:style w:type="paragraph" w:customStyle="1" w:styleId="BSVASectionDividerSubheading">
    <w:name w:val="BSVA | Section Divider Subheading"/>
    <w:basedOn w:val="BSVASectionDividerHeading"/>
    <w:qFormat/>
    <w:rsid w:val="009D68B2"/>
    <w:pPr>
      <w:spacing w:before="700" w:line="240" w:lineRule="auto"/>
      <w:ind w:right="2495"/>
    </w:pPr>
    <w:rPr>
      <w:rFonts w:ascii="Noto Sans" w:hAnsi="Noto Sans" w:cs="Noto Sans"/>
      <w:b w:val="0"/>
      <w:bCs w:val="0"/>
      <w:color w:val="2C2C30" w:themeColor="text2"/>
      <w:sz w:val="28"/>
      <w:szCs w:val="28"/>
    </w:rPr>
  </w:style>
  <w:style w:type="paragraph" w:customStyle="1" w:styleId="BSVANumberedlistheadinglevel2">
    <w:name w:val="BSVA | Numbered list heading level 2"/>
    <w:basedOn w:val="Heading3"/>
    <w:next w:val="BSVANumberedlistheadinglevel1"/>
    <w:qFormat/>
    <w:rsid w:val="00751EA8"/>
    <w:pPr>
      <w:numPr>
        <w:ilvl w:val="1"/>
        <w:numId w:val="10"/>
      </w:numPr>
      <w:spacing w:line="400" w:lineRule="exact"/>
      <w:ind w:left="709" w:hanging="709"/>
      <w:outlineLvl w:val="0"/>
    </w:pPr>
    <w:rPr>
      <w:rFonts w:eastAsiaTheme="minorEastAsia" w:cstheme="minorBidi"/>
      <w:spacing w:val="0"/>
      <w:kern w:val="0"/>
      <w:sz w:val="32"/>
      <w:szCs w:val="32"/>
      <w14:ligatures w14:val="none"/>
    </w:rPr>
  </w:style>
  <w:style w:type="paragraph" w:customStyle="1" w:styleId="BSVANumberedlistheadinglevel3">
    <w:name w:val="BSVA | Numbered list heading level 3"/>
    <w:basedOn w:val="BSVANumberedlistheadinglevel2"/>
    <w:autoRedefine/>
    <w:qFormat/>
    <w:rsid w:val="00751EA8"/>
    <w:pPr>
      <w:numPr>
        <w:ilvl w:val="2"/>
      </w:numPr>
      <w:ind w:left="980" w:hanging="952"/>
      <w:outlineLvl w:val="1"/>
    </w:pPr>
  </w:style>
  <w:style w:type="paragraph" w:customStyle="1" w:styleId="BSVANumberedlistheadinglevel4">
    <w:name w:val="BSVA | Numbered list heading level 4"/>
    <w:basedOn w:val="BSVANumberedlistheadinglevel2"/>
    <w:qFormat/>
    <w:rsid w:val="00B94BE1"/>
    <w:pPr>
      <w:numPr>
        <w:ilvl w:val="3"/>
      </w:numPr>
      <w:ind w:left="1316" w:hanging="1260"/>
    </w:pPr>
  </w:style>
  <w:style w:type="paragraph" w:customStyle="1" w:styleId="Numberedlistheadinglevel4">
    <w:name w:val="Numbered list heading level 4"/>
    <w:basedOn w:val="BSVANumberedlistheadinglevel2"/>
    <w:qFormat/>
    <w:rsid w:val="004B7AFA"/>
    <w:pPr>
      <w:numPr>
        <w:ilvl w:val="4"/>
      </w:numPr>
      <w:tabs>
        <w:tab w:val="left" w:pos="2520"/>
      </w:tabs>
    </w:pPr>
  </w:style>
  <w:style w:type="paragraph" w:customStyle="1" w:styleId="Numberedlistheadinglevel5">
    <w:name w:val="Numbered list heading level 5"/>
    <w:basedOn w:val="BSVANumberedlistheadinglevel2"/>
    <w:qFormat/>
    <w:rsid w:val="004B7AFA"/>
    <w:pPr>
      <w:numPr>
        <w:ilvl w:val="5"/>
      </w:numPr>
      <w:tabs>
        <w:tab w:val="left" w:pos="3010"/>
      </w:tabs>
    </w:pPr>
  </w:style>
  <w:style w:type="paragraph" w:customStyle="1" w:styleId="Numberedlistheadinglevel6">
    <w:name w:val="Numbered list heading level 6"/>
    <w:basedOn w:val="BSVANumberedlistheadinglevel2"/>
    <w:qFormat/>
    <w:rsid w:val="004B7AFA"/>
    <w:pPr>
      <w:numPr>
        <w:ilvl w:val="6"/>
      </w:numPr>
      <w:tabs>
        <w:tab w:val="left" w:pos="3586"/>
      </w:tabs>
    </w:pPr>
  </w:style>
  <w:style w:type="paragraph" w:customStyle="1" w:styleId="BSVANumberedlistheadinglevel1">
    <w:name w:val="BSVA | Numbered list heading level 1"/>
    <w:basedOn w:val="Heading2"/>
    <w:qFormat/>
    <w:rsid w:val="00B94BE1"/>
    <w:pPr>
      <w:numPr>
        <w:numId w:val="10"/>
      </w:numPr>
      <w:spacing w:line="440" w:lineRule="exact"/>
      <w:ind w:left="490" w:hanging="490"/>
    </w:pPr>
    <w:rPr>
      <w:rFonts w:eastAsiaTheme="minorEastAsia" w:cstheme="minorBidi"/>
      <w:color w:val="1B1EA9" w:themeColor="accent2"/>
      <w:spacing w:val="0"/>
      <w:kern w:val="0"/>
      <w:sz w:val="36"/>
      <w:szCs w:val="36"/>
      <w14:ligatures w14:val="none"/>
    </w:rPr>
  </w:style>
  <w:style w:type="paragraph" w:customStyle="1" w:styleId="BSVABoxedListBullet1">
    <w:name w:val="BSVA | Boxed List Bullet 1"/>
    <w:basedOn w:val="ListBullet"/>
    <w:qFormat/>
    <w:rsid w:val="006546EF"/>
    <w:pPr>
      <w:numPr>
        <w:numId w:val="1"/>
      </w:numPr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ind w:left="811" w:right="457" w:hanging="357"/>
    </w:pPr>
    <w:rPr>
      <w:noProof/>
      <w:color w:val="auto"/>
      <w:spacing w:val="0"/>
      <w:lang w:val="en-US"/>
    </w:rPr>
  </w:style>
  <w:style w:type="paragraph" w:customStyle="1" w:styleId="BSVABoxedHeading">
    <w:name w:val="BSVA | Boxed Heading"/>
    <w:basedOn w:val="Normal"/>
    <w:qFormat/>
    <w:rsid w:val="006546EF"/>
    <w:pPr>
      <w:widowControl w:val="0"/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suppressAutoHyphens/>
      <w:snapToGrid w:val="0"/>
      <w:spacing w:before="180"/>
      <w:ind w:left="454" w:right="457"/>
    </w:pPr>
    <w:rPr>
      <w:rFonts w:ascii="Chillax Semibold" w:hAnsi="Chillax Semibold" w:cs="Source Sans Pro Regular"/>
      <w:noProof/>
      <w:spacing w:val="6"/>
      <w:kern w:val="6"/>
      <w:sz w:val="26"/>
      <w:szCs w:val="26"/>
      <w:lang w:val="en-US" w:eastAsia="en-GB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BSVABoxedTextQuote">
    <w:name w:val="BSVA | Boxed Text Quote"/>
    <w:basedOn w:val="Normal"/>
    <w:uiPriority w:val="18"/>
    <w:qFormat/>
    <w:rsid w:val="00F042A6"/>
    <w:pPr>
      <w:widowControl w:val="0"/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suppressAutoHyphens/>
      <w:snapToGrid w:val="0"/>
      <w:spacing w:before="160"/>
      <w:ind w:left="454" w:right="457"/>
    </w:pPr>
    <w:rPr>
      <w:rFonts w:ascii="Chillax Semibold" w:hAnsi="Chillax Semibold" w:cs="Source Sans Pro Regular"/>
      <w:b/>
      <w:noProof/>
      <w:color w:val="003FFF" w:themeColor="accent3"/>
      <w:spacing w:val="14"/>
      <w:kern w:val="6"/>
      <w:sz w:val="26"/>
      <w:szCs w:val="26"/>
      <w:lang w:val="en-US" w:eastAsia="en-GB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BSVABoxedTextQuoteName">
    <w:name w:val="BSVA | Boxed Text Quote – Name"/>
    <w:basedOn w:val="BSVABoxedTextQuote"/>
    <w:qFormat/>
    <w:rsid w:val="005C57D4"/>
    <w:pPr>
      <w:jc w:val="right"/>
    </w:pPr>
    <w:rPr>
      <w:b w:val="0"/>
      <w:bCs/>
      <w:color w:val="1B1EA9" w:themeColor="accent2"/>
      <w:spacing w:val="10"/>
      <w:sz w:val="22"/>
      <w:szCs w:val="22"/>
    </w:rPr>
  </w:style>
  <w:style w:type="paragraph" w:customStyle="1" w:styleId="BSVAABCList">
    <w:name w:val="BSVA | ABC List"/>
    <w:basedOn w:val="ListParagraph"/>
    <w:qFormat/>
    <w:rsid w:val="00B018BA"/>
    <w:pPr>
      <w:numPr>
        <w:numId w:val="11"/>
      </w:numPr>
      <w:ind w:left="476" w:hanging="434"/>
      <w:contextualSpacing w:val="0"/>
    </w:pPr>
  </w:style>
  <w:style w:type="paragraph" w:customStyle="1" w:styleId="BSVATableText">
    <w:name w:val="BSVA | Table Text"/>
    <w:basedOn w:val="Normal"/>
    <w:qFormat/>
    <w:rsid w:val="0022433C"/>
    <w:pPr>
      <w:spacing w:after="0" w:line="200" w:lineRule="exact"/>
    </w:pPr>
    <w:rPr>
      <w:rFonts w:eastAsiaTheme="minorEastAsia"/>
      <w:color w:val="0B0814"/>
      <w:spacing w:val="0"/>
      <w:kern w:val="0"/>
      <w:sz w:val="16"/>
      <w:szCs w:val="16"/>
      <w14:ligatures w14:val="none"/>
    </w:rPr>
  </w:style>
  <w:style w:type="paragraph" w:customStyle="1" w:styleId="BSVATableHeader">
    <w:name w:val="BSVA | Table Header"/>
    <w:basedOn w:val="Normal"/>
    <w:qFormat/>
    <w:rsid w:val="008812E2"/>
    <w:pPr>
      <w:spacing w:after="0"/>
    </w:pPr>
    <w:rPr>
      <w:rFonts w:ascii="Noto Sans SemBd" w:eastAsiaTheme="minorEastAsia" w:hAnsi="Noto Sans SemBd" w:cs="Noto Sans SemBd"/>
      <w:b/>
      <w:bCs/>
      <w:color w:val="0B0814"/>
      <w:spacing w:val="0"/>
      <w:kern w:val="0"/>
      <w:sz w:val="22"/>
      <w:szCs w:val="16"/>
      <w14:ligatures w14:val="none"/>
    </w:rPr>
  </w:style>
  <w:style w:type="table" w:customStyle="1" w:styleId="nChain">
    <w:name w:val="nChain"/>
    <w:basedOn w:val="TableNormal"/>
    <w:uiPriority w:val="99"/>
    <w:rsid w:val="008812E2"/>
    <w:pPr>
      <w:spacing w:after="0" w:line="240" w:lineRule="auto"/>
    </w:pPr>
    <w:rPr>
      <w:rFonts w:ascii="Gibson" w:hAnsi="Gibson"/>
      <w:kern w:val="0"/>
      <w:sz w:val="16"/>
      <w14:ligatures w14:val="none"/>
    </w:rPr>
    <w:tblPr>
      <w:tblStyleRowBandSize w:val="1"/>
      <w:tblStyleColBandSize w:val="1"/>
      <w:tblBorders>
        <w:top w:val="single" w:sz="4" w:space="0" w:color="1B1EA9" w:themeColor="accent2"/>
        <w:bottom w:val="single" w:sz="4" w:space="0" w:color="1B1EA9" w:themeColor="accent2"/>
        <w:insideH w:val="single" w:sz="4" w:space="0" w:color="1B1EA9" w:themeColor="accent2"/>
      </w:tblBorders>
      <w:tblCellMar>
        <w:top w:w="142" w:type="dxa"/>
        <w:left w:w="142" w:type="dxa"/>
        <w:bottom w:w="142" w:type="dxa"/>
        <w:right w:w="142" w:type="dxa"/>
      </w:tblCellMar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8FF" w:themeFill="accent3" w:themeFillTint="33"/>
      </w:tcPr>
    </w:tblStylePr>
    <w:tblStylePr w:type="band1Horz">
      <w:tblPr/>
      <w:tcPr>
        <w:shd w:val="clear" w:color="auto" w:fill="CCD8FF" w:themeFill="accent3" w:themeFillTint="33"/>
      </w:tcPr>
    </w:tblStylePr>
  </w:style>
  <w:style w:type="table" w:styleId="TableGrid">
    <w:name w:val="Table Grid"/>
    <w:basedOn w:val="TableNormal"/>
    <w:rsid w:val="00224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Wphotoandcredit">
    <w:name w:val="GW photo and credit"/>
    <w:basedOn w:val="TableNormal"/>
    <w:uiPriority w:val="99"/>
    <w:rsid w:val="00A12220"/>
    <w:pPr>
      <w:suppressAutoHyphens/>
      <w:spacing w:after="0" w:line="200" w:lineRule="exact"/>
    </w:pPr>
    <w:rPr>
      <w:color w:val="000000" w:themeColor="text1"/>
      <w:kern w:val="0"/>
      <w:sz w:val="16"/>
      <w:lang w:eastAsia="en-GB"/>
      <w14:ligatures w14:val="none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SVAFigurePicturedescription">
    <w:name w:val="BSVA | Figure – Picture description"/>
    <w:basedOn w:val="Caption"/>
    <w:uiPriority w:val="29"/>
    <w:qFormat/>
    <w:rsid w:val="00BE08B1"/>
    <w:pPr>
      <w:spacing w:before="240"/>
      <w:ind w:firstLine="11"/>
    </w:pPr>
    <w:rPr>
      <w:rFonts w:cs="Arial"/>
      <w:i w:val="0"/>
      <w:noProof/>
      <w:spacing w:val="0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2220"/>
    <w:pPr>
      <w:spacing w:after="200"/>
    </w:pPr>
    <w:rPr>
      <w:i/>
      <w:i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D6F0D"/>
    <w:rPr>
      <w:color w:val="605E5C"/>
      <w:shd w:val="clear" w:color="auto" w:fill="E1DFDD"/>
    </w:rPr>
  </w:style>
  <w:style w:type="paragraph" w:styleId="TOC1">
    <w:name w:val="toc 1"/>
    <w:aliases w:val="BSVA | TOC 1"/>
    <w:basedOn w:val="Normal"/>
    <w:next w:val="Normal"/>
    <w:autoRedefine/>
    <w:uiPriority w:val="39"/>
    <w:unhideWhenUsed/>
    <w:rsid w:val="00A1272D"/>
    <w:pPr>
      <w:tabs>
        <w:tab w:val="left" w:pos="518"/>
        <w:tab w:val="left" w:pos="826"/>
        <w:tab w:val="left" w:pos="882"/>
        <w:tab w:val="right" w:leader="dot" w:pos="9854"/>
      </w:tabs>
      <w:spacing w:before="120" w:after="0"/>
    </w:pPr>
    <w:rPr>
      <w:rFonts w:ascii="Noto Sans SemBd" w:hAnsi="Noto Sans SemBd" w:cstheme="minorHAnsi"/>
      <w:b/>
      <w:bCs/>
      <w:iCs/>
      <w:noProof/>
      <w:szCs w:val="24"/>
    </w:rPr>
  </w:style>
  <w:style w:type="paragraph" w:styleId="TOC2">
    <w:name w:val="toc 2"/>
    <w:aliases w:val="BSVA | TOC 2"/>
    <w:basedOn w:val="TOC1"/>
    <w:next w:val="Normal"/>
    <w:autoRedefine/>
    <w:uiPriority w:val="39"/>
    <w:unhideWhenUsed/>
    <w:rsid w:val="0058353D"/>
    <w:pPr>
      <w:tabs>
        <w:tab w:val="clear" w:pos="518"/>
        <w:tab w:val="clear" w:pos="826"/>
        <w:tab w:val="clear" w:pos="882"/>
        <w:tab w:val="left" w:pos="308"/>
      </w:tabs>
    </w:pPr>
    <w:rPr>
      <w:rFonts w:ascii="Noto Sans" w:hAnsi="Noto Sans" w:cs="Noto Sans"/>
      <w:b w:val="0"/>
      <w:bCs w:val="0"/>
      <w:iCs w:val="0"/>
    </w:rPr>
  </w:style>
  <w:style w:type="paragraph" w:styleId="TOC3">
    <w:name w:val="toc 3"/>
    <w:aliases w:val="BSVA | TOC 3"/>
    <w:basedOn w:val="TOC2"/>
    <w:next w:val="Normal"/>
    <w:autoRedefine/>
    <w:uiPriority w:val="39"/>
    <w:unhideWhenUsed/>
    <w:rsid w:val="0058353D"/>
    <w:pPr>
      <w:tabs>
        <w:tab w:val="clear" w:pos="308"/>
        <w:tab w:val="left" w:pos="840"/>
        <w:tab w:val="left" w:pos="868"/>
      </w:tabs>
      <w:ind w:left="364" w:hanging="14"/>
    </w:pPr>
  </w:style>
  <w:style w:type="paragraph" w:styleId="TOC4">
    <w:name w:val="toc 4"/>
    <w:aliases w:val="BSVA | TOC 4"/>
    <w:basedOn w:val="TOC2"/>
    <w:next w:val="Normal"/>
    <w:autoRedefine/>
    <w:uiPriority w:val="39"/>
    <w:unhideWhenUsed/>
    <w:rsid w:val="0058353D"/>
    <w:pPr>
      <w:tabs>
        <w:tab w:val="clear" w:pos="308"/>
        <w:tab w:val="left" w:pos="1498"/>
      </w:tabs>
      <w:ind w:left="854"/>
    </w:pPr>
  </w:style>
  <w:style w:type="paragraph" w:styleId="TOC5">
    <w:name w:val="toc 5"/>
    <w:aliases w:val="BSVA | TOC 5"/>
    <w:basedOn w:val="TOC2"/>
    <w:next w:val="Normal"/>
    <w:autoRedefine/>
    <w:uiPriority w:val="39"/>
    <w:unhideWhenUsed/>
    <w:rsid w:val="0058353D"/>
    <w:pPr>
      <w:tabs>
        <w:tab w:val="clear" w:pos="308"/>
        <w:tab w:val="left" w:pos="2352"/>
      </w:tabs>
      <w:ind w:left="1512" w:firstLine="14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07FBD"/>
    <w:pPr>
      <w:spacing w:after="0"/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7FBD"/>
    <w:pPr>
      <w:spacing w:after="0"/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7FBD"/>
    <w:pPr>
      <w:spacing w:after="0"/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7FBD"/>
    <w:pPr>
      <w:spacing w:after="0"/>
      <w:ind w:left="1600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2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3.xml"/><Relationship Id="rId22" Type="http://schemas.openxmlformats.org/officeDocument/2006/relationships/header" Target="header4.xml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pn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hyperlink" Target="http://association.bsvblockchain.org/" TargetMode="External"/><Relationship Id="rId2" Type="http://schemas.openxmlformats.org/officeDocument/2006/relationships/hyperlink" Target="mailto:contact@bsvassociation.org" TargetMode="External"/><Relationship Id="rId1" Type="http://schemas.openxmlformats.org/officeDocument/2006/relationships/image" Target="media/image5.png"/><Relationship Id="rId6" Type="http://schemas.openxmlformats.org/officeDocument/2006/relationships/image" Target="media/image6.emf"/><Relationship Id="rId5" Type="http://schemas.openxmlformats.org/officeDocument/2006/relationships/hyperlink" Target="http://association.bsvblockchain.org/" TargetMode="External"/><Relationship Id="rId4" Type="http://schemas.openxmlformats.org/officeDocument/2006/relationships/hyperlink" Target="mailto:contact@bsvassociation.or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arlosblasco/Library/Group%20Containers/UBF8T346G9.Office/User%20Content.localized/Templates.localized/BSV%20Association%20Word%20template%202025.dotx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ln>
              <a:noFill/>
            </a:ln>
          </c:spPr>
          <c:dPt>
            <c:idx val="0"/>
            <c:bubble3D val="0"/>
            <c:spPr>
              <a:solidFill>
                <a:schemeClr val="tx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3C8-7A47-B2C7-A9C37DFC1E46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3C8-7A47-B2C7-A9C37DFC1E46}"/>
              </c:ext>
            </c:extLst>
          </c:dPt>
          <c:dPt>
            <c:idx val="2"/>
            <c:bubble3D val="0"/>
            <c:spPr>
              <a:solidFill>
                <a:schemeClr val="accent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3C8-7A47-B2C7-A9C37DFC1E46}"/>
              </c:ext>
            </c:extLst>
          </c:dPt>
          <c:dPt>
            <c:idx val="3"/>
            <c:bubble3D val="0"/>
            <c:spPr>
              <a:solidFill>
                <a:schemeClr val="accent5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3C8-7A47-B2C7-A9C37DFC1E46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3C8-7A47-B2C7-A9C37DFC1E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2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tx2"/>
            </a:solidFill>
          </c:spPr>
          <c:dPt>
            <c:idx val="0"/>
            <c:bubble3D val="0"/>
            <c:spPr>
              <a:solidFill>
                <a:schemeClr val="tx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B5D-FC46-88B5-E1F3E6314507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B5D-FC46-88B5-E1F3E6314507}"/>
              </c:ext>
            </c:extLst>
          </c:dPt>
          <c:cat>
            <c:strRef>
              <c:f>Sheet1!$A$2:$A$3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8.1999999999999993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B5D-FC46-88B5-E1F3E63145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2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300" b="1" i="0">
                <a:solidFill>
                  <a:schemeClr val="accent2"/>
                </a:solidFill>
                <a:latin typeface="Chillax Semibold" pitchFamily="2" charset="77"/>
              </a:rPr>
              <a:t>This is a chart title if needed,</a:t>
            </a:r>
            <a:r>
              <a:rPr lang="en-GB" sz="1300" b="1" i="0" baseline="0">
                <a:solidFill>
                  <a:schemeClr val="accent2"/>
                </a:solidFill>
                <a:latin typeface="Chillax Semibold" pitchFamily="2" charset="77"/>
              </a:rPr>
              <a:t> Chillax Semi Bold– 13Pt</a:t>
            </a:r>
            <a:endParaRPr lang="en-GB" sz="1300" b="1" i="0">
              <a:solidFill>
                <a:schemeClr val="accent2"/>
              </a:solidFill>
              <a:latin typeface="Chillax Semibold" pitchFamily="2" charset="77"/>
            </a:endParaRPr>
          </a:p>
        </c:rich>
      </c:tx>
      <c:layout>
        <c:manualLayout>
          <c:xMode val="edge"/>
          <c:yMode val="edge"/>
          <c:x val="0.16242067513837999"/>
          <c:y val="4.194901581155211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5.9026228278842192E-2"/>
          <c:y val="0.12062641492175531"/>
          <c:w val="0.94097377172115781"/>
          <c:h val="0.6899838149466553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AD-3541-B9F2-D9664B594B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AD-3541-B9F2-D9664B594B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7AD-3541-B9F2-D9664B594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04745712"/>
        <c:axId val="604850544"/>
      </c:barChart>
      <c:catAx>
        <c:axId val="604745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2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spc="70" baseline="0">
                <a:solidFill>
                  <a:schemeClr val="tx2"/>
                </a:solidFill>
                <a:latin typeface="Noto Sans SemBd" panose="020B0502040504020204" pitchFamily="34" charset="0"/>
                <a:ea typeface="Noto Sans SemBd" panose="020B0502040504020204" pitchFamily="34" charset="0"/>
                <a:cs typeface="Noto Sans SemBd" panose="020B0502040504020204" pitchFamily="34" charset="0"/>
              </a:defRPr>
            </a:pPr>
            <a:endParaRPr lang="en-US"/>
          </a:p>
        </c:txPr>
        <c:crossAx val="604850544"/>
        <c:crosses val="autoZero"/>
        <c:auto val="1"/>
        <c:lblAlgn val="ctr"/>
        <c:lblOffset val="100"/>
        <c:noMultiLvlLbl val="0"/>
      </c:catAx>
      <c:valAx>
        <c:axId val="6048505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2"/>
                </a:solidFill>
                <a:latin typeface="Noto Sans" panose="020B0502040504020204" pitchFamily="34" charset="0"/>
                <a:ea typeface="Noto Sans" panose="020B0502040504020204" pitchFamily="34" charset="0"/>
                <a:cs typeface="Noto Sans" panose="020B0502040504020204" pitchFamily="34" charset="0"/>
              </a:defRPr>
            </a:pPr>
            <a:endParaRPr lang="en-US"/>
          </a:p>
        </c:txPr>
        <c:crossAx val="604745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BSVA">
  <a:themeElements>
    <a:clrScheme name="BSVA">
      <a:dk1>
        <a:srgbClr val="000000"/>
      </a:dk1>
      <a:lt1>
        <a:srgbClr val="FFFFFF"/>
      </a:lt1>
      <a:dk2>
        <a:srgbClr val="2C2C30"/>
      </a:dk2>
      <a:lt2>
        <a:srgbClr val="EFF0F7"/>
      </a:lt2>
      <a:accent1>
        <a:srgbClr val="DAE3FF"/>
      </a:accent1>
      <a:accent2>
        <a:srgbClr val="1B1EA9"/>
      </a:accent2>
      <a:accent3>
        <a:srgbClr val="003FFF"/>
      </a:accent3>
      <a:accent4>
        <a:srgbClr val="003FFF"/>
      </a:accent4>
      <a:accent5>
        <a:srgbClr val="00E6FF"/>
      </a:accent5>
      <a:accent6>
        <a:srgbClr val="00E6FF"/>
      </a:accent6>
      <a:hlink>
        <a:srgbClr val="000000"/>
      </a:hlink>
      <a:folHlink>
        <a:srgbClr val="2C2D3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9525">
          <a:solidFill>
            <a:schemeClr val="accent2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square" lIns="0" tIns="0" rIns="0" bIns="0" rtlCol="0" upright="1"/>
      <a:lstStyle/>
    </a:txDef>
  </a:objectDefaults>
  <a:extraClrSchemeLst/>
  <a:extLst>
    <a:ext uri="{05A4C25C-085E-4340-85A3-A5531E510DB2}">
      <thm15:themeFamily xmlns:thm15="http://schemas.microsoft.com/office/thememl/2012/main" name="BSVA" id="{7AFBE444-206A-6E4D-874A-9CC5A0F979A3}" vid="{1817CDD0-4489-CE43-B561-DA19786A0341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81489b-2e9a-4353-af3e-80ab3e63c2b1">
      <Terms xmlns="http://schemas.microsoft.com/office/infopath/2007/PartnerControls"/>
    </lcf76f155ced4ddcb4097134ff3c332f>
    <TaxCatchAll xmlns="e710b220-1881-42a9-a703-89ec0bbaa8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865BA56D3334C8B590043C68A9E13" ma:contentTypeVersion="12" ma:contentTypeDescription="Create a new document." ma:contentTypeScope="" ma:versionID="d47d1dbbd13073c35b2f30cc23b92763">
  <xsd:schema xmlns:xsd="http://www.w3.org/2001/XMLSchema" xmlns:xs="http://www.w3.org/2001/XMLSchema" xmlns:p="http://schemas.microsoft.com/office/2006/metadata/properties" xmlns:ns2="2581489b-2e9a-4353-af3e-80ab3e63c2b1" xmlns:ns3="e710b220-1881-42a9-a703-89ec0bbaa8e5" targetNamespace="http://schemas.microsoft.com/office/2006/metadata/properties" ma:root="true" ma:fieldsID="6702c31989b27b83cb2d8b429f00dfa2" ns2:_="" ns3:_="">
    <xsd:import namespace="2581489b-2e9a-4353-af3e-80ab3e63c2b1"/>
    <xsd:import namespace="e710b220-1881-42a9-a703-89ec0bbaa8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1489b-2e9a-4353-af3e-80ab3e63c2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25a285-9df4-4903-a476-2bc7d05d5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0b220-1881-42a9-a703-89ec0bbaa8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db6967-ff08-4075-b31b-30a90b6022d2}" ma:internalName="TaxCatchAll" ma:showField="CatchAllData" ma:web="e710b220-1881-42a9-a703-89ec0bbaa8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A27D9A-7955-40EF-A71D-080A10BC3BCB}">
  <ds:schemaRefs>
    <ds:schemaRef ds:uri="http://schemas.microsoft.com/office/2006/metadata/properties"/>
    <ds:schemaRef ds:uri="http://schemas.microsoft.com/office/infopath/2007/PartnerControls"/>
    <ds:schemaRef ds:uri="2581489b-2e9a-4353-af3e-80ab3e63c2b1"/>
    <ds:schemaRef ds:uri="e710b220-1881-42a9-a703-89ec0bbaa8e5"/>
  </ds:schemaRefs>
</ds:datastoreItem>
</file>

<file path=customXml/itemProps2.xml><?xml version="1.0" encoding="utf-8"?>
<ds:datastoreItem xmlns:ds="http://schemas.openxmlformats.org/officeDocument/2006/customXml" ds:itemID="{5CCBBC7B-87F5-4963-BE52-5CD501708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2D7AE-C820-4846-ACF2-B31D99DE52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81489b-2e9a-4353-af3e-80ab3e63c2b1"/>
    <ds:schemaRef ds:uri="e710b220-1881-42a9-a703-89ec0bbaa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CE24AE-EC81-FC42-8BAF-D33107B40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BSV Association Word template 2025.dotx</Template>
  <TotalTime>0</TotalTime>
  <Pages>11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BSV Association Word template 2025</vt:lpstr>
    </vt:vector>
  </TitlesOfParts>
  <Manager/>
  <Company>Bopper Media</Company>
  <LinksUpToDate>false</LinksUpToDate>
  <CharactersWithSpaces>9527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BSV Association Word template 2025</dc:title>
  <dc:subject/>
  <dc:creator>Carlos Blasco</dc:creator>
  <cp:keywords/>
  <dc:description/>
  <cp:lastModifiedBy>Carlos Bueno</cp:lastModifiedBy>
  <cp:revision>1</cp:revision>
  <cp:lastPrinted>2025-04-09T19:59:00Z</cp:lastPrinted>
  <dcterms:created xsi:type="dcterms:W3CDTF">2026-03-02T09:16:00Z</dcterms:created>
  <dcterms:modified xsi:type="dcterms:W3CDTF">2026-03-02T09:16:00Z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0x01010031D865BA56D3334C8B590043C68A9E13</vt:lpwstr>
  </property>
</Properties>
</file>