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49FC" w14:textId="77777777" w:rsidR="000E59D9" w:rsidRPr="00B71CE9" w:rsidRDefault="00224883" w:rsidP="00E52325">
      <w:pPr>
        <w:pStyle w:val="BSVACoverTitle"/>
        <w:spacing w:before="11000"/>
      </w:pPr>
      <w:r>
        <w:t>Rúnar — Bug Report</w:t>
      </w:r>
    </w:p>
    <w:p w14:paraId="3A660CA8" w14:textId="77777777" w:rsidR="00C01C44" w:rsidRPr="00B71CE9" w:rsidRDefault="00C01C44" w:rsidP="00CF51C9">
      <w:pPr>
        <w:pStyle w:val="BSVACoverSubtitle"/>
      </w:pPr>
      <w:r>
        <w:t>runar-sdk / runar-compiler v0.4.6 — three issues, with reproductions</w:t>
      </w:r>
    </w:p>
    <w:p w14:paraId="78006723" w14:textId="77777777" w:rsidR="00CF51C9" w:rsidRPr="00B71CE9" w:rsidRDefault="009D7F24" w:rsidP="00BD2823">
      <w:pPr>
        <w:pStyle w:val="BSVACoverVersionDescription"/>
      </w:pPr>
      <w:r>
        <w:t>Version 1.0</w:t>
      </w:r>
    </w:p>
    <w:p w14:paraId="4281AF50" w14:textId="77777777" w:rsidR="00E40560" w:rsidRPr="00B71CE9" w:rsidRDefault="009D7F24" w:rsidP="00BD2823">
      <w:pPr>
        <w:pStyle w:val="BSVACoverDate"/>
      </w:pPr>
      <w:r>
        <w:t>July 2026</w:t>
      </w:r>
    </w:p>
    <w:p>
      <w:pPr>
        <w:pStyle w:val="BSVAIntroduction"/>
      </w:pPr>
      <w:r>
        <w:t>Found while building and deploying a non-trivial stateful financial contract — a stateful UTXO market maker with multiple spending paths and a fungible token — to BSV mainnet. Overall Rúnar performed well: it compiled the contract to valid, miner-accepted Bitcoin Script, and the runar-testing VM correctly validated all contract logic. The three issues below are in the SDK transaction-building and compiler contract-detection, not the language or VM semantics. Two of them (BUG-1, BUG-2) currently block on-chain use of the SDK beyond the simplest case.</w:t>
      </w:r>
    </w:p>
    <w:p>
      <w:pPr>
        <w:pStyle w:val="Normal"/>
      </w:pPr>
      <w:r>
        <w:t>To: the Rúnar maintainers (icellan/runar). Each bug is self-contained and can be filed as a separate issue. All reproduction code uses only public package APIs and throwaway example contracts.</w:t>
      </w:r>
    </w:p>
    <w:p>
      <w:pPr>
        <w:pStyle w:val="Heading2"/>
      </w:pPr>
      <w:r>
        <w:t>Environment</w:t>
      </w:r>
    </w:p>
    <w:tbl>
      <w:tblPr>
        <w:tblStyle w:val="nChain"/>
        <w:tblW w:w="5000" w:type="pct"/>
        <w:tblLook w:val="04A0" w:firstRow="1" w:lastRow="0" w:firstColumn="1" w:lastColumn="0" w:noHBand="0" w:noVBand="1"/>
      </w:tblPr>
      <w:tblGrid>
        <w:gridCol w:w="4932"/>
        <w:gridCol w:w="4932"/>
      </w:tblGrid>
      <w:tr>
        <w:trPr>
          <w:cnfStyle w:val="100000000000" w:firstRow="1"/>
          <w:trHeight w:val="432"/>
        </w:trPr>
        <w:tc>
          <w:tcPr>
            <w:cnfStyle w:val="001000000000" w:firstColumn="1"/>
            <w:tcW w:w="2500" w:type="pct"/>
            <w:vAlign w:val="center"/>
          </w:tcPr>
          <w:p>
            <w:pPr>
              <w:pStyle w:val="BSVATableHeader"/>
            </w:pPr>
            <w:r>
              <w:t>Component</w:t>
            </w:r>
          </w:p>
        </w:tc>
        <w:tc>
          <w:tcPr>
            <w:tcW w:w="2500" w:type="pct"/>
            <w:vAlign w:val="center"/>
          </w:tcPr>
          <w:p>
            <w:pPr>
              <w:pStyle w:val="BSVATableHeader"/>
            </w:pPr>
            <w:r>
              <w:t>Version</w:t>
            </w:r>
          </w:p>
        </w:tc>
      </w:tr>
      <w:tr>
        <w:trPr>
          <w:cnfStyle w:val="000000100000" w:oddHBand="1"/>
          <w:trHeight w:val="455"/>
        </w:trPr>
        <w:tc>
          <w:tcPr>
            <w:cnfStyle w:val="001000000000" w:firstColumn="1"/>
            <w:tcW w:w="2500" w:type="pct"/>
            <w:shd w:val="clear" w:color="auto" w:fill="EFF0F7" w:themeFill="background2"/>
          </w:tcPr>
          <w:p>
            <w:pPr>
              <w:pStyle w:val="BSVATableText"/>
            </w:pPr>
            <w:r>
              <w:t>runar-lang / runar-compiler / runar-sdk / runar-testing</w:t>
            </w:r>
          </w:p>
        </w:tc>
        <w:tc>
          <w:tcPr>
            <w:tcW w:w="2500" w:type="pct"/>
            <w:shd w:val="clear" w:color="auto" w:fill="EFF0F7" w:themeFill="background2"/>
          </w:tcPr>
          <w:p>
            <w:pPr>
              <w:pStyle w:val="BSVATableText"/>
            </w:pPr>
            <w:r>
              <w:t>0.4.6</w:t>
            </w:r>
          </w:p>
        </w:tc>
      </w:tr>
      <w:tr>
        <w:trPr>
          <w:trHeight w:val="455"/>
        </w:trPr>
        <w:tc>
          <w:tcPr>
            <w:cnfStyle w:val="001000000000" w:firstColumn="1"/>
            <w:tcW w:w="2500" w:type="pct"/>
          </w:tcPr>
          <w:p>
            <w:pPr>
              <w:pStyle w:val="BSVATableText"/>
            </w:pPr>
            <w:r>
              <w:t>@bsv/sdk (SDK signing dependency)</w:t>
            </w:r>
          </w:p>
        </w:tc>
        <w:tc>
          <w:tcPr>
            <w:tcW w:w="2500" w:type="pct"/>
          </w:tcPr>
          <w:p>
            <w:pPr>
              <w:pStyle w:val="BSVATableText"/>
            </w:pPr>
            <w:r>
              <w:t>2.1.9</w:t>
            </w:r>
          </w:p>
        </w:tc>
      </w:tr>
      <w:tr>
        <w:trPr>
          <w:cnfStyle w:val="000000100000" w:oddHBand="1"/>
          <w:trHeight w:val="455"/>
        </w:trPr>
        <w:tc>
          <w:tcPr>
            <w:cnfStyle w:val="001000000000" w:firstColumn="1"/>
            <w:tcW w:w="2500" w:type="pct"/>
            <w:shd w:val="clear" w:color="auto" w:fill="EFF0F7" w:themeFill="background2"/>
          </w:tcPr>
          <w:p>
            <w:pPr>
              <w:pStyle w:val="BSVATableText"/>
            </w:pPr>
            <w:r>
              <w:t>Node.js</w:t>
            </w:r>
          </w:p>
        </w:tc>
        <w:tc>
          <w:tcPr>
            <w:tcW w:w="2500" w:type="pct"/>
            <w:shd w:val="clear" w:color="auto" w:fill="EFF0F7" w:themeFill="background2"/>
          </w:tcPr>
          <w:p>
            <w:pPr>
              <w:pStyle w:val="BSVATableText"/>
            </w:pPr>
            <w:r>
              <w:t>v20.19.5</w:t>
            </w:r>
          </w:p>
        </w:tc>
      </w:tr>
      <w:tr>
        <w:trPr>
          <w:trHeight w:val="455"/>
        </w:trPr>
        <w:tc>
          <w:tcPr>
            <w:cnfStyle w:val="001000000000" w:firstColumn="1"/>
            <w:tcW w:w="2500" w:type="pct"/>
          </w:tcPr>
          <w:p>
            <w:pPr>
              <w:pStyle w:val="BSVATableText"/>
            </w:pPr>
            <w:r>
              <w:t>OS</w:t>
            </w:r>
          </w:p>
        </w:tc>
        <w:tc>
          <w:tcPr>
            <w:tcW w:w="2500" w:type="pct"/>
          </w:tcPr>
          <w:p>
            <w:pPr>
              <w:pStyle w:val="BSVATableText"/>
            </w:pPr>
            <w:r>
              <w:t>macOS (darwin 24.6)</w:t>
            </w:r>
          </w:p>
        </w:tc>
      </w:tr>
      <w:tr>
        <w:trPr>
          <w:cnfStyle w:val="000000100000" w:oddHBand="1"/>
          <w:trHeight w:val="455"/>
        </w:trPr>
        <w:tc>
          <w:tcPr>
            <w:cnfStyle w:val="001000000000" w:firstColumn="1"/>
            <w:tcW w:w="2500" w:type="pct"/>
            <w:shd w:val="clear" w:color="auto" w:fill="EFF0F7" w:themeFill="background2"/>
          </w:tcPr>
          <w:p>
            <w:pPr>
              <w:pStyle w:val="BSVATableText"/>
            </w:pPr>
            <w:r>
              <w:t>Network</w:t>
            </w:r>
          </w:p>
        </w:tc>
        <w:tc>
          <w:tcPr>
            <w:tcW w:w="2500" w:type="pct"/>
            <w:shd w:val="clear" w:color="auto" w:fill="EFF0F7" w:themeFill="background2"/>
          </w:tcPr>
          <w:p>
            <w:pPr>
              <w:pStyle w:val="BSVATableText"/>
            </w:pPr>
            <w:r>
              <w:t>BSV mainnet (via WhatsOnChainProvider)</w:t>
            </w:r>
          </w:p>
        </w:tc>
      </w:tr>
    </w:tbl>
    <w:p>
      <w:pPr>
        <w:pStyle w:val="Heading2"/>
      </w:pPr>
      <w:r>
        <w:t>Summary</w:t>
      </w:r>
    </w:p>
    <w:tbl>
      <w:tblPr>
        <w:tblStyle w:val="nChain"/>
        <w:tblW w:w="5000" w:type="pct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>
        <w:trPr>
          <w:cnfStyle w:val="100000000000" w:firstRow="1"/>
          <w:trHeight w:val="432"/>
        </w:trPr>
        <w:tc>
          <w:tcPr>
            <w:cnfStyle w:val="001000000000" w:firstColumn="1"/>
            <w:tcW w:w="1250" w:type="pct"/>
            <w:vAlign w:val="center"/>
          </w:tcPr>
          <w:p>
            <w:pPr>
              <w:pStyle w:val="BSVATableHeader"/>
            </w:pPr>
            <w:r>
              <w:t>#</w:t>
            </w:r>
          </w:p>
        </w:tc>
        <w:tc>
          <w:tcPr>
            <w:tcW w:w="1250" w:type="pct"/>
            <w:vAlign w:val="center"/>
          </w:tcPr>
          <w:p>
            <w:pPr>
              <w:pStyle w:val="BSVATableHeader"/>
            </w:pPr>
            <w:r>
              <w:t>Severity</w:t>
            </w:r>
          </w:p>
        </w:tc>
        <w:tc>
          <w:tcPr>
            <w:tcW w:w="1250" w:type="pct"/>
            <w:vAlign w:val="center"/>
          </w:tcPr>
          <w:p>
            <w:pPr>
              <w:pStyle w:val="BSVATableHeader"/>
            </w:pPr>
            <w:r>
              <w:t>Component</w:t>
            </w:r>
          </w:p>
        </w:tc>
        <w:tc>
          <w:tcPr>
            <w:tcW w:w="1250" w:type="pct"/>
            <w:vAlign w:val="center"/>
          </w:tcPr>
          <w:p>
            <w:pPr>
              <w:pStyle w:val="BSVATableHeader"/>
            </w:pPr>
            <w:r>
              <w:t>One-line</w:t>
            </w:r>
          </w:p>
        </w:tc>
      </w:tr>
      <w:tr>
        <w:trPr>
          <w:cnfStyle w:val="000000100000" w:oddHBand="1"/>
          <w:trHeight w:val="455"/>
        </w:trPr>
        <w:tc>
          <w:tcPr>
            <w:cnfStyle w:val="001000000000" w:firstColumn="1"/>
            <w:tcW w:w="1250" w:type="pct"/>
            <w:shd w:val="clear" w:color="auto" w:fill="EFF0F7" w:themeFill="background2"/>
          </w:tcPr>
          <w:p>
            <w:pPr>
              <w:pStyle w:val="BSVATableText"/>
            </w:pPr>
            <w:r>
              <w:t>BUG-1</w:t>
            </w:r>
          </w:p>
        </w:tc>
        <w:tc>
          <w:tcPr>
            <w:tcW w:w="1250" w:type="pct"/>
            <w:shd w:val="clear" w:color="auto" w:fill="EFF0F7" w:themeFill="background2"/>
          </w:tcPr>
          <w:p>
            <w:pPr>
              <w:pStyle w:val="BSVATableText"/>
            </w:pPr>
            <w:r>
              <w:t>High</w:t>
            </w:r>
          </w:p>
        </w:tc>
        <w:tc>
          <w:tcPr>
            <w:tcW w:w="1250" w:type="pct"/>
            <w:shd w:val="clear" w:color="auto" w:fill="EFF0F7" w:themeFill="background2"/>
          </w:tcPr>
          <w:p>
            <w:pPr>
              <w:pStyle w:val="BSVATableText"/>
            </w:pPr>
            <w:r>
              <w:t>runar-sdk provider/signer</w:t>
            </w:r>
          </w:p>
        </w:tc>
        <w:tc>
          <w:tcPr>
            <w:tcW w:w="1250" w:type="pct"/>
            <w:shd w:val="clear" w:color="auto" w:fill="EFF0F7" w:themeFill="background2"/>
          </w:tcPr>
          <w:p>
            <w:pPr>
              <w:pStyle w:val="BSVATableText"/>
            </w:pPr>
            <w:r>
              <w:t>WhatsOnChainProvider.getUtxos() returns an empty locking script, so every SDK-signed input gets the wrong BIP-143 sighash and the node rejects the tx.</w:t>
            </w:r>
          </w:p>
        </w:tc>
      </w:tr>
      <w:tr>
        <w:trPr>
          <w:trHeight w:val="455"/>
        </w:trPr>
        <w:tc>
          <w:tcPr>
            <w:cnfStyle w:val="001000000000" w:firstColumn="1"/>
            <w:tcW w:w="1250" w:type="pct"/>
          </w:tcPr>
          <w:p>
            <w:pPr>
              <w:pStyle w:val="BSVATableText"/>
            </w:pPr>
            <w:r>
              <w:t>BUG-2</w:t>
            </w:r>
          </w:p>
        </w:tc>
        <w:tc>
          <w:tcPr>
            <w:tcW w:w="1250" w:type="pct"/>
          </w:tcPr>
          <w:p>
            <w:pPr>
              <w:pStyle w:val="BSVATableText"/>
            </w:pPr>
            <w:r>
              <w:t>High</w:t>
            </w:r>
          </w:p>
        </w:tc>
        <w:tc>
          <w:tcPr>
            <w:tcW w:w="1250" w:type="pct"/>
          </w:tcPr>
          <w:p>
            <w:pPr>
              <w:pStyle w:val="BSVATableText"/>
            </w:pPr>
            <w:r>
              <w:t>runar-sdk prepareCall/call</w:t>
            </w:r>
          </w:p>
        </w:tc>
        <w:tc>
          <w:tcPr>
            <w:tcW w:w="1250" w:type="pct"/>
          </w:tcPr>
          <w:p>
            <w:pPr>
              <w:pStyle w:val="BSVATableText"/>
            </w:pPr>
            <w:r>
              <w:t>Transactions built by the SDK omit any addRawOutput output, so multi-output / token-minting / multi-input contracts can't be transacted.</w:t>
            </w:r>
          </w:p>
        </w:tc>
      </w:tr>
      <w:tr>
        <w:trPr>
          <w:cnfStyle w:val="000000100000" w:oddHBand="1"/>
          <w:trHeight w:val="455"/>
        </w:trPr>
        <w:tc>
          <w:tcPr>
            <w:cnfStyle w:val="001000000000" w:firstColumn="1"/>
            <w:tcW w:w="1250" w:type="pct"/>
            <w:shd w:val="clear" w:color="auto" w:fill="EFF0F7" w:themeFill="background2"/>
          </w:tcPr>
          <w:p>
            <w:pPr>
              <w:pStyle w:val="BSVATableText"/>
            </w:pPr>
            <w:r>
              <w:t>BUG-3</w:t>
            </w:r>
          </w:p>
        </w:tc>
        <w:tc>
          <w:tcPr>
            <w:tcW w:w="1250" w:type="pct"/>
            <w:shd w:val="clear" w:color="auto" w:fill="EFF0F7" w:themeFill="background2"/>
          </w:tcPr>
          <w:p>
            <w:pPr>
              <w:pStyle w:val="BSVATableText"/>
            </w:pPr>
            <w:r>
              <w:t>Medium</w:t>
            </w:r>
          </w:p>
        </w:tc>
        <w:tc>
          <w:tcPr>
            <w:tcW w:w="1250" w:type="pct"/>
            <w:shd w:val="clear" w:color="auto" w:fill="EFF0F7" w:themeFill="background2"/>
          </w:tcPr>
          <w:p>
            <w:pPr>
              <w:pStyle w:val="BSVATableText"/>
            </w:pPr>
            <w:r>
              <w:t>runar-compiler detection</w:t>
            </w:r>
          </w:p>
        </w:tc>
        <w:tc>
          <w:tcPr>
            <w:tcW w:w="1250" w:type="pct"/>
            <w:shd w:val="clear" w:color="auto" w:fill="EFF0F7" w:themeFill="background2"/>
          </w:tcPr>
          <w:p>
            <w:pPr>
              <w:pStyle w:val="BSVATableText"/>
            </w:pPr>
            <w:r>
              <w:t>A subclass of the shipped FungibleToken / NonFungibleToken base contracts fails to compile.</w:t>
            </w:r>
          </w:p>
        </w:tc>
      </w:tr>
    </w:tbl>
    <w:p>
      <w:pPr>
        <w:pStyle w:val="Heading1"/>
      </w:pPr>
      <w:r>
        <w:t>BUG-1 — WhatsOnChainProvider.getUtxos() returns an empty .script</w:t>
      </w:r>
    </w:p>
    <w:p>
      <w:pPr>
        <w:pStyle w:val="Normal"/>
      </w:pPr>
      <w:r>
        <w:t>Severity: High — blocks every RunarContract.deploy() / .call() that funds a transaction, on mainnet.</w:t>
      </w:r>
    </w:p>
    <w:p>
      <w:pPr>
        <w:pStyle w:val="Heading3"/>
      </w:pPr>
      <w:r>
        <w:t>Symptom</w:t>
      </w:r>
    </w:p>
    <w:p>
      <w:pPr>
        <w:pStyle w:val="Normal"/>
      </w:pPr>
      <w:r>
        <w:t>Broadcasting any deploy/call to mainnet fails at script verification:</w:t>
      </w:r>
    </w:p>
    <w:p>
      <w:pPr>
        <w:pStyle w:val="Normal"/>
        <w:shd w:val="clear" w:color="auto" w:fill="F2F2F5"/>
        <w:spacing w:before="40" w:after="40" w:line="240" w:lineRule="auto"/>
      </w:pPr>
      <w:r>
        <w:rPr>
          <w:rFonts w:ascii="Consolas" w:hAnsi="Consolas" w:cs="Consolas"/>
          <w:sz w:val="15"/>
          <w:szCs w:val="15"/>
        </w:rPr>
        <w:t xml:space="preserve">mandatory-script-verify-flag-failed (Signature must be zero for failed CHECK(MULTI)SIG operation)</w:t>
      </w:r>
    </w:p>
    <w:p>
      <w:pPr>
        <w:pStyle w:val="Normal"/>
      </w:pPr>
      <w:r>
        <w:t>(BIP146 NULLFAIL — a CHECKSIG returned false with a non-empty signature.) The public-key hash in the unlocking script is correct (OP_EQUALVERIFY passes), but the signature is over the wrong sighash, so OP_CHECKSIG fails.</w:t>
      </w:r>
    </w:p>
    <w:p>
      <w:pPr>
        <w:pStyle w:val="Heading3"/>
      </w:pPr>
      <w:r>
        <w:t>Root cause</w:t>
      </w:r>
    </w:p>
    <w:p>
      <w:pPr>
        <w:pStyle w:val="Normal"/>
      </w:pPr>
      <w:r>
        <w:t>WhatsOnChainProvider.getUtxos() returns UTXOs whose script field is an empty string — the WhatsOnChain unspent-outputs endpoint does not include the locking script, and the provider does not backfill it. The signing path then uses that empty string as the BIP-143 scriptCode/subscript: in contract.ts, deploy() and the funding-input path of .call() sign with signer.sign(unsignedHex, i, utxo.script, utxo.satoshis) — utxo.script IS the subscript — and LocalSigner.sign() computes the BIP-143 preimage with that (empty) subscript. An empty scriptCode yields a different sighash than the node computes, so the signature is invalid.</w:t>
      </w:r>
    </w:p>
    <w:p>
      <w:pPr>
        <w:pStyle w:val="Heading3"/>
      </w:pPr>
      <w:r>
        <w:t>Minimal reproduction (read-only — no funds needed)</w:t>
      </w:r>
    </w:p>
    <w:p>
      <w:pPr>
        <w:pStyle w:val="Normal"/>
        <w:shd w:val="clear" w:color="auto" w:fill="F2F2F5"/>
        <w:spacing w:before="40" w:after="40" w:line="240" w:lineRule="auto"/>
      </w:pPr>
      <w:r>
        <w:rPr>
          <w:rFonts w:ascii="Consolas" w:hAnsi="Consolas" w:cs="Consolas"/>
          <w:sz w:val="15"/>
          <w:szCs w:val="15"/>
        </w:rPr>
        <w:t xml:space="preserve">import { WhatsOnChainProvider } from 'runar-sdk';</w:t>
        <w:br/>
        <w:t xml:space="preserve"/>
        <w:br/>
        <w:t xml:space="preserve">const provider = new WhatsOnChainProvider('mainnet');</w:t>
        <w:br/>
        <w:t xml:space="preserve">const utxos = await provider.getUtxos('&lt;any funded mainnet address&gt;');</w:t>
        <w:br/>
        <w:t xml:space="preserve">console.log(utxos.length, JSON.stringify(utxos[0].script));</w:t>
        <w:br/>
        <w:t xml:space="preserve">// -&gt; 1 ""     the locking script is empty</w:t>
      </w:r>
    </w:p>
    <w:p>
      <w:pPr>
        <w:pStyle w:val="Heading3"/>
      </w:pPr>
      <w:r>
        <w:t>Expected vs actual</w:t>
      </w:r>
    </w:p>
    <w:p>
      <w:pPr>
        <w:pStyle w:val="ListBullet"/>
      </w:pPr>
      <w:r>
        <w:t>Expected: getUtxos() returns each UTXO's real locking script, and the signed tx is accepted.</w:t>
      </w:r>
    </w:p>
    <w:p>
      <w:pPr>
        <w:pStyle w:val="ListBullet"/>
      </w:pPr>
      <w:r>
        <w:t>Actual: script is "", the sighash subscript is empty, the signature is invalid, the node rejects it.</w:t>
      </w:r>
    </w:p>
    <w:p>
      <w:pPr>
        <w:pStyle w:val="Heading3"/>
      </w:pPr>
      <w:r>
        <w:t>Suggested fix</w:t>
      </w:r>
    </w:p>
    <w:p>
      <w:pPr>
        <w:pStyle w:val="Normal"/>
      </w:pPr>
      <w:r>
        <w:t>In WhatsOnChainProvider.getUtxos(), populate each UTXO's script. For a queried address the locking script is a standard P2PKH and can be reconstructed directly from the address (OP_DUP OP_HASH160 &lt;hash160(address)&gt; OP_EQUALVERIFY OP_CHECKSIG) with no extra network call. Once utxo.script is correct, LocalSigner's sighash is correct.</w:t>
      </w:r>
    </w:p>
    <w:p>
      <w:pPr>
        <w:pStyle w:val="Heading3"/>
      </w:pPr>
      <w:r>
        <w:t>Client-side workaround</w:t>
      </w:r>
    </w:p>
    <w:p>
      <w:pPr>
        <w:pStyle w:val="Normal"/>
      </w:pPr>
      <w:r>
        <w:t>Reconstruct the P2PKH locking script from the address and sign the funding input with @bsv/sdk's P2PKH template over the final transaction:</w:t>
      </w:r>
    </w:p>
    <w:p>
      <w:pPr>
        <w:pStyle w:val="Normal"/>
        <w:shd w:val="clear" w:color="auto" w:fill="F2F2F5"/>
        <w:spacing w:before="40" w:after="40" w:line="240" w:lineRule="auto"/>
      </w:pPr>
      <w:r>
        <w:rPr>
          <w:rFonts w:ascii="Consolas" w:hAnsi="Consolas" w:cs="Consolas"/>
          <w:sz w:val="15"/>
          <w:szCs w:val="15"/>
        </w:rPr>
        <w:t xml:space="preserve">import { P2PKH } from '@bsv/sdk';</w:t>
        <w:br/>
        <w:t xml:space="preserve">const lock = new P2PKH().lock(privKey.toAddress());   // the real subscript</w:t>
        <w:br/>
        <w:t xml:space="preserve">const unlock = await new P2PKH()</w:t>
        <w:br/>
        <w:t xml:space="preserve">  .unlock(privKey, 'all', false, utxo.satoshis, lock).sign(tx, inputIndex);</w:t>
        <w:br/>
        <w:t xml:space="preserve">tx.inputs[inputIndex].unlockingScript = unlock;</w:t>
      </w:r>
    </w:p>
    <w:p>
      <w:pPr>
        <w:pStyle w:val="Heading1"/>
      </w:pPr>
      <w:r>
        <w:t>BUG-2 — prepareCall / call don't build addRawOutput outputs</w:t>
      </w:r>
    </w:p>
    <w:p>
      <w:pPr>
        <w:pStyle w:val="Normal"/>
      </w:pPr>
      <w:r>
        <w:t>Severity: High — blocks any contract whose spending path emits more than one output via addRawOutput (token minting, escrow payouts, atomic swaps, fan-out) and any multi-input contract spend.</w:t>
      </w:r>
    </w:p>
    <w:p>
      <w:pPr>
        <w:pStyle w:val="Heading3"/>
      </w:pPr>
      <w:r>
        <w:t>Symptom</w:t>
      </w:r>
    </w:p>
    <w:p>
      <w:pPr>
        <w:pStyle w:val="Normal"/>
      </w:pPr>
      <w:r>
        <w:t>A public method that calls this.addRawOutput(...) (in addition to the state continuation) compiles and executes correctly in the runar-testing VM, but when the transaction is built with the SDK the addRawOutput output is missing from prepared.tx.outputs. The compiled contract enforces its full output set via hashOutputs / OP_PUSH_TX, so such a transaction is rejected by the node.</w:t>
      </w:r>
    </w:p>
    <w:p>
      <w:pPr>
        <w:pStyle w:val="Heading3"/>
      </w:pPr>
      <w:r>
        <w:t>Root cause</w:t>
      </w:r>
    </w:p>
    <w:p>
      <w:pPr>
        <w:pStyle w:val="Normal"/>
      </w:pPr>
      <w:r>
        <w:t>prepareCall()/call() (contract.ts) derive only the single addOutput continuation (plus a change output). They do not simulate addRawOutput (nor multiple addOutput calls beyond the primary continuation), so the extra output the contract constructs on-chain is never placed in the transaction.</w:t>
      </w:r>
    </w:p>
    <w:p>
      <w:pPr>
        <w:pStyle w:val="Heading3"/>
      </w:pPr>
      <w:r>
        <w:t>Minimal reproduction (offline, MockProvider — no funds needed)</w:t>
      </w:r>
    </w:p>
    <w:p>
      <w:pPr>
        <w:pStyle w:val="Normal"/>
        <w:shd w:val="clear" w:color="auto" w:fill="F2F2F5"/>
        <w:spacing w:before="40" w:after="40" w:line="240" w:lineRule="auto"/>
      </w:pPr>
      <w:r>
        <w:rPr>
          <w:rFonts w:ascii="Consolas" w:hAnsi="Consolas" w:cs="Consolas"/>
          <w:sz w:val="15"/>
          <w:szCs w:val="15"/>
        </w:rPr>
        <w:t xml:space="preserve">import { compile } from 'runar-compiler';</w:t>
        <w:br/>
        <w:t xml:space="preserve">import { RunarContract, MockProvider, LocalSigner, buildP2PKHScript } from 'runar-sdk';</w:t>
        <w:br/>
        <w:t xml:space="preserve"/>
        <w:br/>
        <w:t xml:space="preserve">const src = `</w:t>
        <w:br/>
        <w:t xml:space="preserve">import { StatefulSmartContract } from 'runar-lang';</w:t>
        <w:br/>
        <w:t xml:space="preserve">import type { ByteString } from 'runar-lang';</w:t>
        <w:br/>
        <w:t xml:space="preserve">class Emitter extends StatefulSmartContract {</w:t>
        <w:br/>
        <w:t xml:space="preserve">  count: bigint;</w:t>
        <w:br/>
        <w:t xml:space="preserve">  readonly extra: ByteString;</w:t>
        <w:br/>
        <w:t xml:space="preserve">  constructor(count: bigint, extra: ByteString) { super(count, extra); this.count = count; this.extra = extra; }</w:t>
        <w:br/>
        <w:t xml:space="preserve">  public tick(contSats: bigint, extraSats: bigint) {</w:t>
        <w:br/>
        <w:t xml:space="preserve">    this.addOutput(contSats, this.count + 1n);   // state continuation</w:t>
        <w:br/>
        <w:t xml:space="preserve">    this.addRawOutput(extraSats, this.extra);    // a second, arbitrary output</w:t>
        <w:br/>
        <w:t xml:space="preserve">  }</w:t>
        <w:br/>
        <w:t xml:space="preserve">}`;</w:t>
        <w:br/>
        <w:t xml:space="preserve">const art = compile(src, { fileName: 'Emitter.runar.ts' }).artifact!;   // compiles fine</w:t>
        <w:br/>
        <w:t xml:space="preserve">const extra = '76a914' + 'ab'.repeat(20) + '88ac';</w:t>
        <w:br/>
        <w:t xml:space="preserve">const lockingScript = new RunarContract(art, [0n, extra]).getLockingScript();</w:t>
        <w:br/>
        <w:t xml:space="preserve"/>
        <w:br/>
        <w:t xml:space="preserve">const provider = new MockProvider('mainnet');</w:t>
        <w:br/>
        <w:t xml:space="preserve">const signer = new LocalSigner('01'.repeat(32));</w:t>
        <w:br/>
        <w:t xml:space="preserve">const addr = await signer.getAddress();</w:t>
        <w:br/>
        <w:t xml:space="preserve">provider.addUtxo(addr, { txid: 'ff'.repeat(32), outputIndex: 0, satoshis: 100_000_000, script: buildP2PKHScript(addr) });</w:t>
        <w:br/>
        <w:t xml:space="preserve"/>
        <w:br/>
        <w:t xml:space="preserve">const c = RunarContract.fromUtxo(art, { txid: 'aa'.repeat(32), outputIndex: 0, satoshis: 5000, script: lockingScript });</w:t>
        <w:br/>
        <w:t xml:space="preserve">c.connect(provider, signer);</w:t>
        <w:br/>
        <w:t xml:space="preserve">const prepared = await c.prepareCall('tick', [2000n, 1000n], { newState: { count: 1n, extra }, satoshis: 2000 });</w:t>
        <w:br/>
        <w:t xml:space="preserve"/>
        <w:br/>
        <w:t xml:space="preserve">console.log('outputs:', prepared.tx.outputs.length);   // -&gt; 2  (continuation + change)</w:t>
        <w:br/>
        <w:t xml:space="preserve">// EXPECTED: 3 — continuation + the addRawOutput output + change. The addRawOutput output is missing.</w:t>
      </w:r>
    </w:p>
    <w:p>
      <w:pPr>
        <w:pStyle w:val="Heading3"/>
      </w:pPr>
      <w:r>
        <w:t>Suggested fix</w:t>
      </w:r>
    </w:p>
    <w:p>
      <w:pPr>
        <w:pStyle w:val="Normal"/>
      </w:pPr>
      <w:r>
        <w:t>Simulate the method's full output list when building the transaction. The anf-interpreter already computes the new state; extending it to collect all addOutput/addRawOutput outputs (in order) and placing them in the tx before computing the OP_PUSH_TX signature would cover this. Additionally, exposing an API to supply extra raw outputs and to build multi-input contract spends (e.g. burning one contract's UTXO while spending another's) would make token/settlement patterns feasible.</w:t>
      </w:r>
    </w:p>
    <w:p>
      <w:pPr>
        <w:pStyle w:val="Heading3"/>
      </w:pPr>
      <w:r>
        <w:t>Client-side workaround</w:t>
      </w:r>
    </w:p>
    <w:p>
      <w:pPr>
        <w:pStyle w:val="Normal"/>
      </w:pPr>
      <w:r>
        <w:t>Hand-build the transaction: construct the exact output set yourself, compute the OP_PUSH_TX preimage and signature (computeOpPushTx is exported and correct), and assemble the unlocking script. This is substantial and re-implements a chunk of the SDK, so an upstream fix is strongly preferable.</w:t>
      </w:r>
    </w:p>
    <w:p>
      <w:pPr>
        <w:pStyle w:val="Heading1"/>
      </w:pPr>
      <w:r>
        <w:t>BUG-3 — subclasses of the shipped FungibleToken / NonFungibleToken bases don't compile</w:t>
      </w:r>
    </w:p>
    <w:p>
      <w:pPr>
        <w:pStyle w:val="Normal"/>
      </w:pPr>
      <w:r>
        <w:t>Severity: Medium — the provided token base contracts in runar-lang/tokens can't be extended, so they're usable as reference/types only.</w:t>
      </w:r>
    </w:p>
    <w:p>
      <w:pPr>
        <w:pStyle w:val="Heading3"/>
      </w:pPr>
      <w:r>
        <w:t>Symptom</w:t>
      </w:r>
    </w:p>
    <w:p>
      <w:pPr>
        <w:pStyle w:val="Normal"/>
      </w:pPr>
      <w:r>
        <w:t>A class that extends FungibleToken (or NonFungibleToken) fails to compile:</w:t>
      </w:r>
    </w:p>
    <w:p>
      <w:pPr>
        <w:pStyle w:val="Normal"/>
        <w:shd w:val="clear" w:color="auto" w:fill="F2F2F5"/>
        <w:spacing w:before="40" w:after="40" w:line="240" w:lineRule="auto"/>
      </w:pPr>
      <w:r>
        <w:rPr>
          <w:rFonts w:ascii="Consolas" w:hAnsi="Consolas" w:cs="Consolas"/>
          <w:sz w:val="15"/>
          <w:szCs w:val="15"/>
        </w:rPr>
        <w:t xml:space="preserve">error: No class extending SmartContract or StatefulSmartContract found</w:t>
      </w:r>
    </w:p>
    <w:p>
      <w:pPr>
        <w:pStyle w:val="Heading3"/>
      </w:pPr>
      <w:r>
        <w:t>Root cause</w:t>
      </w:r>
    </w:p>
    <w:p>
      <w:pPr>
        <w:pStyle w:val="Normal"/>
      </w:pPr>
      <w:r>
        <w:t>The compiler's contract-detection pass appears to match only classes whose direct superclass is SmartContract or StatefulSmartContract. FungibleToken extends SmartContract, so a subclass of FungibleToken is two levels down the chain and isn't recognised as a contract.</w:t>
      </w:r>
    </w:p>
    <w:p>
      <w:pPr>
        <w:pStyle w:val="Heading3"/>
      </w:pPr>
      <w:r>
        <w:t>Minimal reproduction</w:t>
      </w:r>
    </w:p>
    <w:p>
      <w:pPr>
        <w:pStyle w:val="Normal"/>
        <w:shd w:val="clear" w:color="auto" w:fill="F2F2F5"/>
        <w:spacing w:before="40" w:after="40" w:line="240" w:lineRule="auto"/>
      </w:pPr>
      <w:r>
        <w:rPr>
          <w:rFonts w:ascii="Consolas" w:hAnsi="Consolas" w:cs="Consolas"/>
          <w:sz w:val="15"/>
          <w:szCs w:val="15"/>
        </w:rPr>
        <w:t xml:space="preserve">import { compile } from 'runar-compiler';</w:t>
        <w:br/>
        <w:t xml:space="preserve"/>
        <w:br/>
        <w:t xml:space="preserve">const src = `</w:t>
        <w:br/>
        <w:t xml:space="preserve">import { FungibleToken } from 'runar-lang/tokens';</w:t>
        <w:br/>
        <w:t xml:space="preserve">import type { PubKey } from 'runar-lang';</w:t>
        <w:br/>
        <w:t xml:space="preserve">class MyToken extends FungibleToken {</w:t>
        <w:br/>
        <w:t xml:space="preserve">  constructor(supply: bigint, holder: PubKey) { super(supply, holder); }</w:t>
        <w:br/>
        <w:t xml:space="preserve">}`;</w:t>
        <w:br/>
        <w:t xml:space="preserve">const r = compile(src, { fileName: 'MyToken.runar.ts' });</w:t>
        <w:br/>
        <w:t xml:space="preserve">console.log(r.success, r.diagnostics.map(d =&gt; d.message));</w:t>
        <w:br/>
        <w:t xml:space="preserve">// -&gt; false  [ 'No class extending SmartContract or StatefulSmartContract found' ]</w:t>
      </w:r>
    </w:p>
    <w:p>
      <w:pPr>
        <w:pStyle w:val="Heading3"/>
      </w:pPr>
      <w:r>
        <w:t>Suggested fix</w:t>
      </w:r>
    </w:p>
    <w:p>
      <w:pPr>
        <w:pStyle w:val="Normal"/>
      </w:pPr>
      <w:r>
        <w:t>Resolve the extends chain when detecting contract classes (walk up to SmartContract / StatefulSmartContract transitively), or — if base contracts are intentionally not subclassable — document that token contracts must be written as direct StatefulSmartContract subclasses and ship a compilable token template.</w:t>
      </w:r>
    </w:p>
    <w:p>
      <w:pPr>
        <w:pStyle w:val="Heading3"/>
      </w:pPr>
      <w:r>
        <w:t>Client-side workaround</w:t>
      </w:r>
    </w:p>
    <w:p>
      <w:pPr>
        <w:pStyle w:val="Normal"/>
      </w:pPr>
      <w:r>
        <w:t>Write the token as a direct StatefulSmartContract (mutable supply/holder, transfer/split/burn via addOutput), following the pattern in the SDK's own multi-output token test.</w:t>
      </w:r>
    </w:p>
    <w:p>
      <w:pPr>
        <w:pStyle w:val="Heading1"/>
      </w:pPr>
      <w:r>
        <w:t>Closing note</w:t>
      </w:r>
    </w:p>
    <w:p>
      <w:pPr>
        <w:pStyle w:val="Normal"/>
      </w:pPr>
      <w:r>
        <w:t>None of these are language/VM defects — the contract compiled to correct Script and behaved correctly under runar-testing. They're gaps in the off-chain tooling (provider script backfill, SDK output simulation, compiler subclass detection). Fixing BUG-1 and BUG-2 would unblock real on-chain use of the SDK for non-trivial stateful contracts. Happy to provide further detail or test against a fix.</w:t>
      </w:r>
    </w:p>
    <w:sectPr w:rsidR="00F9441A" w:rsidRPr="00B71CE9" w:rsidSect="006A047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871" w:right="1021" w:bottom="1247" w:left="1021" w:header="709" w:footer="6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F11D4" w14:textId="77777777" w:rsidR="002C055D" w:rsidRDefault="002C055D" w:rsidP="001F288B">
      <w:r>
        <w:separator/>
      </w:r>
    </w:p>
  </w:endnote>
  <w:endnote w:type="continuationSeparator" w:id="0">
    <w:p w14:paraId="27D7485E" w14:textId="77777777" w:rsidR="002C055D" w:rsidRDefault="002C055D" w:rsidP="001F2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hillax Semibold">
    <w:altName w:val="Calibri"/>
    <w:panose1 w:val="020B0604020202020204"/>
    <w:charset w:val="4D"/>
    <w:family w:val="auto"/>
    <w:notTrueType/>
    <w:pitch w:val="variable"/>
    <w:sig w:usb0="8000006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emBd">
    <w:altName w:val="Calibri"/>
    <w:panose1 w:val="020B0604020202020204"/>
    <w:charset w:val="00"/>
    <w:family w:val="swiss"/>
    <w:pitch w:val="variable"/>
    <w:sig w:usb0="E00002FF" w:usb1="4000201F" w:usb2="08000029" w:usb3="00000000" w:csb0="0000019F" w:csb1="00000000"/>
  </w:font>
  <w:font w:name="Source Sans Pro Regular">
    <w:altName w:val="Source Sans Pro"/>
    <w:panose1 w:val="020B0604020202020204"/>
    <w:charset w:val="00"/>
    <w:family w:val="swiss"/>
    <w:pitch w:val="variable"/>
    <w:sig w:usb0="600002F7" w:usb1="02000001" w:usb2="00000000" w:usb3="00000000" w:csb0="0000019F" w:csb1="00000000"/>
  </w:font>
  <w:font w:name="Gibson">
    <w:altName w:val="Calibri"/>
    <w:panose1 w:val="020B0604020202020204"/>
    <w:charset w:val="4D"/>
    <w:family w:val="auto"/>
    <w:pitch w:val="variable"/>
    <w:sig w:usb0="A000002F" w:usb1="50000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E4F1" w14:textId="77777777" w:rsidR="00FB2FBA" w:rsidRDefault="00FB2F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3C212" w14:textId="77777777" w:rsidR="00BC532E" w:rsidRPr="00BF2F8B" w:rsidRDefault="00960B76" w:rsidP="00BF2F8B">
    <w:pPr>
      <w:pStyle w:val="Footer"/>
      <w:tabs>
        <w:tab w:val="clear" w:pos="9026"/>
        <w:tab w:val="right" w:pos="9864"/>
      </w:tabs>
    </w:pPr>
    <w:r w:rsidRPr="00BF2F8B">
      <w:t>Version 1.0</w:t>
    </w:r>
    <w:r w:rsidR="00ED6DA0" w:rsidRPr="00BF2F8B">
      <w:tab/>
    </w:r>
    <w:r w:rsidR="00ED6DA0" w:rsidRPr="00BF2F8B">
      <w:tab/>
    </w:r>
    <w:r w:rsidR="00BF2F8B" w:rsidRPr="00BF2F8B">
      <w:t xml:space="preserve"> </w:t>
    </w:r>
    <w:r w:rsidR="00BC532E" w:rsidRPr="00BF2F8B">
      <w:rPr>
        <w:rStyle w:val="PageNumber"/>
      </w:rPr>
      <w:fldChar w:fldCharType="begin"/>
    </w:r>
    <w:r w:rsidR="00BC532E" w:rsidRPr="00BF2F8B">
      <w:rPr>
        <w:rStyle w:val="PageNumber"/>
      </w:rPr>
      <w:instrText xml:space="preserve"> PAGE  \* Arabic  \* MERGEFORMAT </w:instrText>
    </w:r>
    <w:r w:rsidR="00BC532E" w:rsidRPr="00BF2F8B">
      <w:rPr>
        <w:rStyle w:val="PageNumber"/>
      </w:rPr>
      <w:fldChar w:fldCharType="separate"/>
    </w:r>
    <w:r w:rsidR="00BC532E" w:rsidRPr="00BF2F8B">
      <w:rPr>
        <w:rStyle w:val="PageNumber"/>
      </w:rPr>
      <w:t>2</w:t>
    </w:r>
    <w:r w:rsidR="00BC532E" w:rsidRPr="00BF2F8B">
      <w:rPr>
        <w:rStyle w:val="PageNumber"/>
      </w:rPr>
      <w:fldChar w:fldCharType="end"/>
    </w:r>
    <w:r w:rsidR="00BC532E" w:rsidRPr="00BF2F8B">
      <w:rPr>
        <w:rStyle w:val="PageNumber"/>
      </w:rPr>
      <w:t xml:space="preserve"> of </w:t>
    </w:r>
    <w:r w:rsidR="00BC532E" w:rsidRPr="00BF2F8B">
      <w:rPr>
        <w:rStyle w:val="PageNumber"/>
      </w:rPr>
      <w:fldChar w:fldCharType="begin"/>
    </w:r>
    <w:r w:rsidR="00BC532E" w:rsidRPr="00BF2F8B">
      <w:rPr>
        <w:rStyle w:val="PageNumber"/>
      </w:rPr>
      <w:instrText xml:space="preserve"> NUMPAGES  \* Arabic  \* MERGEFORMAT </w:instrText>
    </w:r>
    <w:r w:rsidR="00BC532E" w:rsidRPr="00BF2F8B">
      <w:rPr>
        <w:rStyle w:val="PageNumber"/>
      </w:rPr>
      <w:fldChar w:fldCharType="separate"/>
    </w:r>
    <w:r w:rsidR="00BC532E" w:rsidRPr="00BF2F8B">
      <w:rPr>
        <w:rStyle w:val="PageNumber"/>
      </w:rPr>
      <w:t>2</w:t>
    </w:r>
    <w:r w:rsidR="00BC532E" w:rsidRPr="00BF2F8B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71DB0" w14:textId="77777777" w:rsidR="00FB2FBA" w:rsidRDefault="00FB2FB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E7E3E" w14:textId="77777777" w:rsidR="00F9441A" w:rsidRDefault="00F944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2C8DE" w14:textId="77777777" w:rsidR="002C055D" w:rsidRPr="006B3377" w:rsidRDefault="002C055D" w:rsidP="006B3377">
      <w:pPr>
        <w:pStyle w:val="Footer"/>
        <w:rPr>
          <w:lang w:val="de-AT"/>
        </w:rPr>
      </w:pPr>
    </w:p>
  </w:footnote>
  <w:footnote w:type="continuationSeparator" w:id="0">
    <w:p w14:paraId="3A6EF24A" w14:textId="77777777" w:rsidR="002C055D" w:rsidRDefault="002C055D" w:rsidP="001F288B">
      <w:r>
        <w:continuationSeparator/>
      </w:r>
    </w:p>
  </w:footnote>
  <w:footnote w:id="1">
    <w:p w14:paraId="5718BB35" w14:textId="77777777" w:rsidR="00B62205" w:rsidRPr="009221E8" w:rsidRDefault="00B62205" w:rsidP="005D6DE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9221E8" w:rsidRPr="005D6DE0">
        <w:t>BSVA | Footnote text. consetetur sadipscing elitr, sed diam nonumy eirmod tempor invidunt ut labore et dolore magna aliquyam</w:t>
      </w:r>
      <w:r w:rsidR="00D65087" w:rsidRPr="005D6DE0">
        <w:t xml:space="preserve"> et dolore magna aliquyam erat, sed. At vero eos et accusam et justo duo dolores et stet clita diam voluptua.</w:t>
      </w:r>
    </w:p>
  </w:footnote>
  <w:footnote w:id="2">
    <w:p w14:paraId="6AD2CD76" w14:textId="77777777" w:rsidR="00D65087" w:rsidRPr="00D65087" w:rsidRDefault="00D65087" w:rsidP="005D6DE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906F62">
        <w:t xml:space="preserve">Lorem ipsum dolor sit amet, consetetur sadipscing elitr, sed diam nonumy eirmod tempor invidunt </w:t>
      </w:r>
      <w:r>
        <w:t>s</w:t>
      </w:r>
      <w:r w:rsidRPr="00906F62">
        <w:t>ut</w:t>
      </w:r>
      <w:r w:rsidR="005D6DE0">
        <w:t xml:space="preserve"> rana dixit a folio.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5305" w14:textId="77777777" w:rsidR="00FB2FBA" w:rsidRDefault="00FB2F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8E50A" w14:textId="77777777" w:rsidR="00BC532E" w:rsidRPr="00E709F3" w:rsidRDefault="00F46585" w:rsidP="00E709F3">
    <w:pPr>
      <w:pStyle w:val="Header"/>
    </w:pPr>
    <w:r w:rsidRPr="00E709F3">
      <w:drawing>
        <wp:anchor distT="0" distB="0" distL="114300" distR="114300" simplePos="0" relativeHeight="251665408" behindDoc="1" locked="0" layoutInCell="1" allowOverlap="1" wp14:anchorId="6496A9DD" wp14:editId="02FF6718">
          <wp:simplePos x="0" y="0"/>
          <wp:positionH relativeFrom="margin">
            <wp:posOffset>-648335</wp:posOffset>
          </wp:positionH>
          <wp:positionV relativeFrom="paragraph">
            <wp:posOffset>-411849</wp:posOffset>
          </wp:positionV>
          <wp:extent cx="7543800" cy="10662578"/>
          <wp:effectExtent l="0" t="0" r="0" b="5715"/>
          <wp:wrapNone/>
          <wp:docPr id="961837136" name="Picture 10" descr="A black background with a black bord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1837136" name="Picture 10" descr="A black background with a black border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4214" cy="106631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532E" w:rsidRPr="00E709F3">
      <w:drawing>
        <wp:anchor distT="0" distB="0" distL="114300" distR="114300" simplePos="0" relativeHeight="251663360" behindDoc="1" locked="0" layoutInCell="1" allowOverlap="1" wp14:anchorId="1B22B519" wp14:editId="1D8A4E76">
          <wp:simplePos x="0" y="0"/>
          <wp:positionH relativeFrom="column">
            <wp:posOffset>4711809</wp:posOffset>
          </wp:positionH>
          <wp:positionV relativeFrom="paragraph">
            <wp:posOffset>-8255</wp:posOffset>
          </wp:positionV>
          <wp:extent cx="1563370" cy="106045"/>
          <wp:effectExtent l="0" t="0" r="0" b="0"/>
          <wp:wrapNone/>
          <wp:docPr id="18997246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972467" name="Picture 18997246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63370" cy="106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532E" w:rsidRPr="00E709F3">
      <w:t>Rúnar Bug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0740C" w14:textId="77777777" w:rsidR="00443C6D" w:rsidRDefault="00224883" w:rsidP="00E709F3">
    <w:pPr>
      <w:pStyle w:val="Header"/>
    </w:pPr>
    <w:r>
      <w:drawing>
        <wp:anchor distT="0" distB="0" distL="114300" distR="114300" simplePos="0" relativeHeight="251658240" behindDoc="1" locked="0" layoutInCell="1" allowOverlap="1" wp14:anchorId="5DF0CF32" wp14:editId="7A499231">
          <wp:simplePos x="0" y="0"/>
          <wp:positionH relativeFrom="margin">
            <wp:posOffset>-658495</wp:posOffset>
          </wp:positionH>
          <wp:positionV relativeFrom="margin">
            <wp:posOffset>-1181784</wp:posOffset>
          </wp:positionV>
          <wp:extent cx="7621566" cy="10772138"/>
          <wp:effectExtent l="0" t="0" r="0" b="0"/>
          <wp:wrapNone/>
          <wp:docPr id="1952761755" name="Picture 2" descr="A blue and black background with many triangl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2761755" name="Picture 2" descr="A blue and black background with many triangl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1566" cy="10772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drawing>
        <wp:anchor distT="0" distB="0" distL="114300" distR="114300" simplePos="0" relativeHeight="251660288" behindDoc="1" locked="0" layoutInCell="1" allowOverlap="1" wp14:anchorId="737A6A9E" wp14:editId="3A59232A">
          <wp:simplePos x="0" y="0"/>
          <wp:positionH relativeFrom="column">
            <wp:posOffset>-939</wp:posOffset>
          </wp:positionH>
          <wp:positionV relativeFrom="paragraph">
            <wp:posOffset>29845</wp:posOffset>
          </wp:positionV>
          <wp:extent cx="1796415" cy="1378585"/>
          <wp:effectExtent l="0" t="0" r="0" b="5715"/>
          <wp:wrapNone/>
          <wp:docPr id="170022831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228319" name="Picture 170022831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96415" cy="1378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12008" w14:textId="77777777" w:rsidR="00F9441A" w:rsidRDefault="00407FBD" w:rsidP="00E709F3">
    <w:pPr>
      <w:pStyle w:val="Header"/>
    </w:pPr>
    <w:r>
      <w:drawing>
        <wp:anchor distT="0" distB="0" distL="114300" distR="114300" simplePos="0" relativeHeight="251672576" behindDoc="1" locked="0" layoutInCell="1" allowOverlap="1" wp14:anchorId="08A6CE2A" wp14:editId="023FD4D0">
          <wp:simplePos x="0" y="0"/>
          <wp:positionH relativeFrom="margin">
            <wp:posOffset>3121412</wp:posOffset>
          </wp:positionH>
          <wp:positionV relativeFrom="margin">
            <wp:posOffset>-1188085</wp:posOffset>
          </wp:positionV>
          <wp:extent cx="8040295" cy="12659311"/>
          <wp:effectExtent l="0" t="0" r="0" b="0"/>
          <wp:wrapNone/>
          <wp:docPr id="336967841" name="Picture 2" descr="A blue and black background with many triangl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2761755" name="Picture 2" descr="A blue and black background with many triangle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736" t="1" r="-28014" b="18368"/>
                  <a:stretch/>
                </pic:blipFill>
                <pic:spPr bwMode="auto">
                  <a:xfrm>
                    <a:off x="0" y="0"/>
                    <a:ext cx="8040295" cy="12659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68FE" w:rsidRPr="00B71CE9">
      <mc:AlternateContent>
        <mc:Choice Requires="wps">
          <w:drawing>
            <wp:anchor distT="0" distB="0" distL="114300" distR="114300" simplePos="0" relativeHeight="251674624" behindDoc="0" locked="0" layoutInCell="1" allowOverlap="1" wp14:anchorId="65D3E1D6" wp14:editId="0C8BCA61">
              <wp:simplePos x="0" y="0"/>
              <wp:positionH relativeFrom="column">
                <wp:posOffset>49907</wp:posOffset>
              </wp:positionH>
              <wp:positionV relativeFrom="paragraph">
                <wp:posOffset>3685540</wp:posOffset>
              </wp:positionV>
              <wp:extent cx="3854547" cy="5950633"/>
              <wp:effectExtent l="0" t="0" r="6350" b="5715"/>
              <wp:wrapNone/>
              <wp:docPr id="485502812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54547" cy="59506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FBE76" w14:textId="77777777" w:rsidR="003F68FE" w:rsidRDefault="003F68FE" w:rsidP="003F68FE">
                          <w:pPr>
                            <w:pStyle w:val="BSVASectionDividerHeading"/>
                            <w:spacing w:before="0" w:after="5400"/>
                          </w:pPr>
                          <w:r w:rsidRPr="00C54046">
                            <w:t>Thank you</w:t>
                          </w:r>
                        </w:p>
                        <w:p w14:paraId="5B2AAF4C" w14:textId="77777777" w:rsidR="003F68FE" w:rsidRDefault="003F68FE" w:rsidP="003F68FE">
                          <w:pPr>
                            <w:pStyle w:val="Heading3"/>
                            <w:spacing w:after="0"/>
                          </w:pPr>
                          <w:r w:rsidRPr="00F71BFE">
                            <w:t>Contact</w:t>
                          </w:r>
                        </w:p>
                        <w:p w14:paraId="0F93EF2C" w14:textId="77777777" w:rsidR="003F68FE" w:rsidRPr="003F68FE" w:rsidRDefault="003F68FE" w:rsidP="003F68FE">
                          <w:pPr>
                            <w:rPr>
                              <w:color w:val="003FFF" w:themeColor="accent3"/>
                              <w:sz w:val="36"/>
                              <w:szCs w:val="36"/>
                              <w:lang w:val="en-US"/>
                            </w:rPr>
                          </w:pPr>
                          <w:r w:rsidRPr="003F68FE">
                            <w:rPr>
                              <w:color w:val="003FFF" w:themeColor="accent3"/>
                              <w:sz w:val="36"/>
                              <w:szCs w:val="36"/>
                              <w:lang w:val="en-US"/>
                            </w:rPr>
                            <w:t>–</w:t>
                          </w:r>
                        </w:p>
                        <w:p w14:paraId="394B286D" w14:textId="77777777" w:rsidR="003F68FE" w:rsidRPr="00F61EC7" w:rsidRDefault="003F68FE" w:rsidP="003F68FE">
                          <w:pPr>
                            <w:spacing w:after="40"/>
                            <w:rPr>
                              <w:rFonts w:ascii="Noto Sans SemBd" w:hAnsi="Noto Sans SemBd" w:cs="Noto Sans SemBd"/>
                              <w:b/>
                              <w:bCs/>
                              <w:lang w:val="en-US"/>
                            </w:rPr>
                          </w:pPr>
                          <w:r w:rsidRPr="00F61EC7">
                            <w:rPr>
                              <w:rFonts w:ascii="Noto Sans SemBd" w:hAnsi="Noto Sans SemBd" w:cs="Noto Sans SemBd"/>
                              <w:b/>
                              <w:bCs/>
                              <w:lang w:val="en-US"/>
                            </w:rPr>
                            <w:t>BSV Association</w:t>
                          </w:r>
                          <w:r w:rsidRPr="00F61EC7">
                            <w:rPr>
                              <w:lang w:val="en-US"/>
                            </w:rPr>
                            <w:br/>
                          </w:r>
                          <w:proofErr w:type="spellStart"/>
                          <w:r w:rsidR="00FB2FBA" w:rsidRPr="00F61EC7">
                            <w:rPr>
                              <w:lang w:val="en-US"/>
                            </w:rPr>
                            <w:t>Alpenstrasse</w:t>
                          </w:r>
                          <w:proofErr w:type="spellEnd"/>
                          <w:r w:rsidR="00FB2FBA" w:rsidRPr="00F61EC7">
                            <w:rPr>
                              <w:lang w:val="en-US"/>
                            </w:rPr>
                            <w:t xml:space="preserve"> 15</w:t>
                          </w:r>
                          <w:r w:rsidRPr="00F61EC7">
                            <w:rPr>
                              <w:lang w:val="en-US"/>
                            </w:rPr>
                            <w:t xml:space="preserve"> </w:t>
                          </w:r>
                          <w:r w:rsidRPr="00F61EC7">
                            <w:rPr>
                              <w:lang w:val="en-US"/>
                            </w:rPr>
                            <w:br/>
                          </w:r>
                          <w:r w:rsidR="00316E4D" w:rsidRPr="00F61EC7">
                            <w:rPr>
                              <w:lang w:val="en-US"/>
                            </w:rPr>
                            <w:t>6300 Zug</w:t>
                          </w:r>
                          <w:r w:rsidRPr="00F61EC7">
                            <w:rPr>
                              <w:lang w:val="en-US"/>
                            </w:rPr>
                            <w:br/>
                          </w:r>
                          <w:r w:rsidR="00316E4D" w:rsidRPr="00F61EC7">
                            <w:rPr>
                              <w:lang w:val="en-US"/>
                            </w:rPr>
                            <w:t>Switzerland</w:t>
                          </w:r>
                          <w:r w:rsidRPr="00F61EC7">
                            <w:rPr>
                              <w:lang w:val="en-US"/>
                            </w:rPr>
                            <w:br/>
                          </w:r>
                          <w:r w:rsidRPr="00F61EC7">
                            <w:rPr>
                              <w:lang w:val="en-US"/>
                            </w:rPr>
                            <w:br/>
                          </w:r>
                          <w:hyperlink r:id="rId2" w:history="1">
                            <w:r w:rsidRPr="00F61EC7">
                              <w:rPr>
                                <w:rStyle w:val="Hyperlink"/>
                                <w:color w:val="2C2C30" w:themeColor="text2"/>
                                <w:u w:val="none"/>
                                <w:lang w:val="en-US"/>
                              </w:rPr>
                              <w:t>contact@bsvassociation.org</w:t>
                            </w:r>
                          </w:hyperlink>
                        </w:p>
                        <w:p w14:paraId="135AB557" w14:textId="77777777" w:rsidR="003F68FE" w:rsidRPr="00316E4D" w:rsidRDefault="003F68FE" w:rsidP="003F68FE">
                          <w:hyperlink r:id="rId3" w:history="1">
                            <w:r w:rsidRPr="00316E4D">
                              <w:rPr>
                                <w:rStyle w:val="Hyperlink"/>
                                <w:color w:val="2C2C30" w:themeColor="text2"/>
                                <w:u w:val="none"/>
                              </w:rPr>
                              <w:t>association.bsvblockchain.org</w:t>
                            </w:r>
                          </w:hyperlink>
                        </w:p>
                        <w:p w14:paraId="19EB98FC" w14:textId="77777777" w:rsidR="003F68FE" w:rsidRPr="00316E4D" w:rsidRDefault="003F68FE" w:rsidP="003F68FE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D3E1D6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.95pt;margin-top:290.2pt;width:303.5pt;height:468.5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" filled="f" stroked="f" strokeweight=".5pt">
              <v:textbox inset="0,0,0,0">
                <w:txbxContent>
                  <w:p w14:paraId="72AFBE76" w14:textId="77777777" w:rsidR="003F68FE" w:rsidRDefault="003F68FE" w:rsidP="003F68FE">
                    <w:pPr>
                      <w:pStyle w:val="BSVASectionDividerHeading"/>
                      <w:spacing w:before="0" w:after="5400"/>
                    </w:pPr>
                    <w:r w:rsidRPr="00C54046">
                      <w:t>Thank you</w:t>
                    </w:r>
                  </w:p>
                  <w:p w14:paraId="5B2AAF4C" w14:textId="77777777" w:rsidR="003F68FE" w:rsidRDefault="003F68FE" w:rsidP="003F68FE">
                    <w:pPr>
                      <w:pStyle w:val="Heading3"/>
                      <w:spacing w:after="0"/>
                    </w:pPr>
                    <w:r w:rsidRPr="00F71BFE">
                      <w:t>Contact</w:t>
                    </w:r>
                  </w:p>
                  <w:p w14:paraId="0F93EF2C" w14:textId="77777777" w:rsidR="003F68FE" w:rsidRPr="003F68FE" w:rsidRDefault="003F68FE" w:rsidP="003F68FE">
                    <w:pPr>
                      <w:rPr>
                        <w:color w:val="003FFF" w:themeColor="accent3"/>
                        <w:sz w:val="36"/>
                        <w:szCs w:val="36"/>
                        <w:lang w:val="en-US"/>
                      </w:rPr>
                    </w:pPr>
                    <w:r w:rsidRPr="003F68FE">
                      <w:rPr>
                        <w:color w:val="003FFF" w:themeColor="accent3"/>
                        <w:sz w:val="36"/>
                        <w:szCs w:val="36"/>
                        <w:lang w:val="en-US"/>
                      </w:rPr>
                      <w:t>–</w:t>
                    </w:r>
                  </w:p>
                  <w:p w14:paraId="394B286D" w14:textId="77777777" w:rsidR="003F68FE" w:rsidRPr="00F61EC7" w:rsidRDefault="003F68FE" w:rsidP="003F68FE">
                    <w:pPr>
                      <w:spacing w:after="40"/>
                      <w:rPr>
                        <w:rFonts w:ascii="Noto Sans SemBd" w:hAnsi="Noto Sans SemBd" w:cs="Noto Sans SemBd"/>
                        <w:b/>
                        <w:bCs/>
                        <w:lang w:val="en-US"/>
                      </w:rPr>
                    </w:pPr>
                    <w:r w:rsidRPr="00F61EC7">
                      <w:rPr>
                        <w:rFonts w:ascii="Noto Sans SemBd" w:hAnsi="Noto Sans SemBd" w:cs="Noto Sans SemBd"/>
                        <w:b/>
                        <w:bCs/>
                        <w:lang w:val="en-US"/>
                      </w:rPr>
                      <w:t>BSV Association</w:t>
                    </w:r>
                    <w:r w:rsidRPr="00F61EC7">
                      <w:rPr>
                        <w:lang w:val="en-US"/>
                      </w:rPr>
                      <w:br/>
                    </w:r>
                    <w:proofErr w:type="spellStart"/>
                    <w:r w:rsidR="00FB2FBA" w:rsidRPr="00F61EC7">
                      <w:rPr>
                        <w:lang w:val="en-US"/>
                      </w:rPr>
                      <w:t>Alpenstrasse</w:t>
                    </w:r>
                    <w:proofErr w:type="spellEnd"/>
                    <w:r w:rsidR="00FB2FBA" w:rsidRPr="00F61EC7">
                      <w:rPr>
                        <w:lang w:val="en-US"/>
                      </w:rPr>
                      <w:t xml:space="preserve"> 15</w:t>
                    </w:r>
                    <w:r w:rsidRPr="00F61EC7">
                      <w:rPr>
                        <w:lang w:val="en-US"/>
                      </w:rPr>
                      <w:t xml:space="preserve"> </w:t>
                    </w:r>
                    <w:r w:rsidRPr="00F61EC7">
                      <w:rPr>
                        <w:lang w:val="en-US"/>
                      </w:rPr>
                      <w:br/>
                    </w:r>
                    <w:r w:rsidR="00316E4D" w:rsidRPr="00F61EC7">
                      <w:rPr>
                        <w:lang w:val="en-US"/>
                      </w:rPr>
                      <w:t>6300 Zug</w:t>
                    </w:r>
                    <w:r w:rsidRPr="00F61EC7">
                      <w:rPr>
                        <w:lang w:val="en-US"/>
                      </w:rPr>
                      <w:br/>
                    </w:r>
                    <w:r w:rsidR="00316E4D" w:rsidRPr="00F61EC7">
                      <w:rPr>
                        <w:lang w:val="en-US"/>
                      </w:rPr>
                      <w:t>Switzerland</w:t>
                    </w:r>
                    <w:r w:rsidRPr="00F61EC7">
                      <w:rPr>
                        <w:lang w:val="en-US"/>
                      </w:rPr>
                      <w:br/>
                    </w:r>
                    <w:r w:rsidRPr="00F61EC7">
                      <w:rPr>
                        <w:lang w:val="en-US"/>
                      </w:rPr>
                      <w:br/>
                    </w:r>
                    <w:hyperlink r:id="rId4" w:history="1">
                      <w:r w:rsidRPr="00F61EC7">
                        <w:rPr>
                          <w:rStyle w:val="Hyperlink"/>
                          <w:color w:val="2C2C30" w:themeColor="text2"/>
                          <w:u w:val="none"/>
                          <w:lang w:val="en-US"/>
                        </w:rPr>
                        <w:t>contact@bsvassociation.org</w:t>
                      </w:r>
                    </w:hyperlink>
                  </w:p>
                  <w:p w14:paraId="135AB557" w14:textId="77777777" w:rsidR="003F68FE" w:rsidRPr="00316E4D" w:rsidRDefault="003F68FE" w:rsidP="003F68FE">
                    <w:hyperlink r:id="rId5" w:history="1">
                      <w:r w:rsidRPr="00316E4D">
                        <w:rPr>
                          <w:rStyle w:val="Hyperlink"/>
                          <w:color w:val="2C2C30" w:themeColor="text2"/>
                          <w:u w:val="none"/>
                        </w:rPr>
                        <w:t>association.bsvblockchain.org</w:t>
                      </w:r>
                    </w:hyperlink>
                  </w:p>
                  <w:p w14:paraId="19EB98FC" w14:textId="77777777" w:rsidR="003F68FE" w:rsidRPr="00316E4D" w:rsidRDefault="003F68FE" w:rsidP="003F68FE"/>
                </w:txbxContent>
              </v:textbox>
            </v:shape>
          </w:pict>
        </mc:Fallback>
      </mc:AlternateContent>
    </w:r>
    <w:r w:rsidR="003F68FE">
      <w:t xml:space="preserve"> </w:t>
    </w:r>
    <w:r w:rsidR="000423EC">
      <w:rPr>
        <w:lang w:val="en-US"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69DFAA7A" wp14:editId="449BEFD9">
              <wp:simplePos x="0" y="0"/>
              <wp:positionH relativeFrom="column">
                <wp:posOffset>-690538</wp:posOffset>
              </wp:positionH>
              <wp:positionV relativeFrom="paragraph">
                <wp:posOffset>-450215</wp:posOffset>
              </wp:positionV>
              <wp:extent cx="7592695" cy="10747326"/>
              <wp:effectExtent l="0" t="0" r="1905" b="0"/>
              <wp:wrapNone/>
              <wp:docPr id="158861830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2695" cy="10747326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69EB4E" id="Rectangle 15" o:spid="_x0000_s1026" style="position:absolute;margin-left:-54.35pt;margin-top:-35.45pt;width:597.85pt;height:846.2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" fillcolor="#dae3ff [3204]" stroked="f" strokeweight="1.5pt"/>
          </w:pict>
        </mc:Fallback>
      </mc:AlternateContent>
    </w:r>
    <w:r w:rsidR="00460383">
      <w:drawing>
        <wp:anchor distT="0" distB="0" distL="114300" distR="114300" simplePos="0" relativeHeight="251667456" behindDoc="1" locked="0" layoutInCell="1" allowOverlap="1" wp14:anchorId="2D4D3665" wp14:editId="062C7D03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96415" cy="1378585"/>
          <wp:effectExtent l="0" t="0" r="0" b="5715"/>
          <wp:wrapNone/>
          <wp:docPr id="61388366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228319" name="Picture 1700228319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1796415" cy="1378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806E9762"/>
    <w:lvl w:ilvl="0">
      <w:start w:val="1"/>
      <w:numFmt w:val="bullet"/>
      <w:pStyle w:val="ListBullet3"/>
      <w:lvlText w:val=""/>
      <w:lvlJc w:val="left"/>
      <w:pPr>
        <w:ind w:left="926" w:hanging="360"/>
      </w:pPr>
      <w:rPr>
        <w:rFonts w:ascii="Symbol" w:hAnsi="Symbol" w:hint="default"/>
        <w:color w:val="003FFF" w:themeColor="accent3"/>
      </w:rPr>
    </w:lvl>
  </w:abstractNum>
  <w:abstractNum w:abstractNumId="1" w15:restartNumberingAfterBreak="0">
    <w:nsid w:val="FFFFFF83"/>
    <w:multiLevelType w:val="singleLevel"/>
    <w:tmpl w:val="CAA842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color w:val="003FFF" w:themeColor="accent3"/>
      </w:rPr>
    </w:lvl>
  </w:abstractNum>
  <w:abstractNum w:abstractNumId="2" w15:restartNumberingAfterBreak="0">
    <w:nsid w:val="FFFFFF89"/>
    <w:multiLevelType w:val="singleLevel"/>
    <w:tmpl w:val="721620E2"/>
    <w:lvl w:ilvl="0">
      <w:start w:val="1"/>
      <w:numFmt w:val="bullet"/>
      <w:pStyle w:val="BSVABoxed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3FFF" w:themeColor="accent3"/>
      </w:rPr>
    </w:lvl>
  </w:abstractNum>
  <w:abstractNum w:abstractNumId="3" w15:restartNumberingAfterBreak="0">
    <w:nsid w:val="0D5763D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7553EAF"/>
    <w:multiLevelType w:val="multilevel"/>
    <w:tmpl w:val="1D6C3FCA"/>
    <w:styleLink w:val="CurrentList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3FFF" w:themeColor="accent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0E47"/>
    <w:multiLevelType w:val="hybridMultilevel"/>
    <w:tmpl w:val="041878DA"/>
    <w:lvl w:ilvl="0" w:tplc="B50AC626">
      <w:start w:val="1"/>
      <w:numFmt w:val="lowerLetter"/>
      <w:pStyle w:val="BSVAABCList"/>
      <w:lvlText w:val="%1)"/>
      <w:lvlJc w:val="left"/>
      <w:pPr>
        <w:ind w:left="720" w:hanging="360"/>
      </w:pPr>
      <w:rPr>
        <w:rFonts w:ascii="Noto Sans" w:hAnsi="Noto Sans" w:cs="Noto Sans" w:hint="default"/>
        <w:b/>
        <w:bCs/>
        <w:i w:val="0"/>
        <w:iCs w:val="0"/>
        <w:color w:val="2C2C30" w:themeColor="text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31285"/>
    <w:multiLevelType w:val="multilevel"/>
    <w:tmpl w:val="E76A5B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BDF3C63"/>
    <w:multiLevelType w:val="hybridMultilevel"/>
    <w:tmpl w:val="43AEDA16"/>
    <w:lvl w:ilvl="0" w:tplc="3720440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3FFF" w:themeColor="accent3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B4B85"/>
    <w:multiLevelType w:val="multilevel"/>
    <w:tmpl w:val="DDE06ECE"/>
    <w:lvl w:ilvl="0">
      <w:start w:val="1"/>
      <w:numFmt w:val="decimal"/>
      <w:pStyle w:val="BSVANumberedlistheadinglevel1"/>
      <w:lvlText w:val="%1."/>
      <w:lvlJc w:val="left"/>
      <w:pPr>
        <w:ind w:left="450" w:hanging="360"/>
      </w:pPr>
      <w:rPr>
        <w:rFonts w:ascii="Chillax Semibold" w:eastAsiaTheme="minorEastAsia" w:hAnsi="Chillax Semibold" w:cstheme="minorBidi" w:hint="default"/>
        <w:b w:val="0"/>
        <w:bCs w:val="0"/>
        <w:i w:val="0"/>
        <w:iCs w:val="0"/>
      </w:rPr>
    </w:lvl>
    <w:lvl w:ilvl="1">
      <w:start w:val="1"/>
      <w:numFmt w:val="decimal"/>
      <w:pStyle w:val="BSVANumberedlistheadinglevel2"/>
      <w:lvlText w:val="%1.%2."/>
      <w:lvlJc w:val="left"/>
      <w:pPr>
        <w:ind w:left="882" w:hanging="432"/>
      </w:pPr>
      <w:rPr>
        <w:rFonts w:hint="default"/>
        <w:color w:val="929292"/>
      </w:rPr>
    </w:lvl>
    <w:lvl w:ilvl="2">
      <w:start w:val="1"/>
      <w:numFmt w:val="decimal"/>
      <w:pStyle w:val="BSVANumberedlistheadinglevel3"/>
      <w:lvlText w:val="%1.%2.%3."/>
      <w:lvlJc w:val="left"/>
      <w:pPr>
        <w:ind w:left="1314" w:hanging="504"/>
      </w:pPr>
      <w:rPr>
        <w:rFonts w:hint="default"/>
        <w:color w:val="929292"/>
      </w:rPr>
    </w:lvl>
    <w:lvl w:ilvl="3">
      <w:start w:val="1"/>
      <w:numFmt w:val="decimal"/>
      <w:pStyle w:val="BSVANumberedlistheadinglevel4"/>
      <w:lvlText w:val="%1.%2.%3.%4."/>
      <w:lvlJc w:val="left"/>
      <w:pPr>
        <w:ind w:left="1818" w:hanging="648"/>
      </w:pPr>
      <w:rPr>
        <w:rFonts w:hint="default"/>
        <w:color w:val="929292"/>
      </w:rPr>
    </w:lvl>
    <w:lvl w:ilvl="4">
      <w:start w:val="1"/>
      <w:numFmt w:val="decimal"/>
      <w:pStyle w:val="Numberedlistheadinglevel4"/>
      <w:lvlText w:val="%1.%2.%3.%4.%5."/>
      <w:lvlJc w:val="left"/>
      <w:pPr>
        <w:ind w:left="2322" w:hanging="792"/>
      </w:pPr>
      <w:rPr>
        <w:rFonts w:hint="default"/>
      </w:rPr>
    </w:lvl>
    <w:lvl w:ilvl="5">
      <w:start w:val="1"/>
      <w:numFmt w:val="decimal"/>
      <w:pStyle w:val="Numberedlistheadinglevel5"/>
      <w:lvlText w:val="%1.%2.%3.%4.%5.%6."/>
      <w:lvlJc w:val="left"/>
      <w:pPr>
        <w:ind w:left="2826" w:hanging="936"/>
      </w:pPr>
      <w:rPr>
        <w:rFonts w:hint="default"/>
      </w:rPr>
    </w:lvl>
    <w:lvl w:ilvl="6">
      <w:start w:val="1"/>
      <w:numFmt w:val="decimal"/>
      <w:pStyle w:val="Numberedlistheadinglevel6"/>
      <w:lvlText w:val="%1.%2.%3.%4.%5.%6.%7."/>
      <w:lvlJc w:val="left"/>
      <w:pPr>
        <w:ind w:left="33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3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10" w:hanging="1440"/>
      </w:pPr>
      <w:rPr>
        <w:rFonts w:hint="default"/>
      </w:rPr>
    </w:lvl>
  </w:abstractNum>
  <w:abstractNum w:abstractNumId="9" w15:restartNumberingAfterBreak="0">
    <w:nsid w:val="621E728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10485240">
    <w:abstractNumId w:val="2"/>
  </w:num>
  <w:num w:numId="2" w16cid:durableId="857503324">
    <w:abstractNumId w:val="7"/>
  </w:num>
  <w:num w:numId="3" w16cid:durableId="1438253770">
    <w:abstractNumId w:val="4"/>
  </w:num>
  <w:num w:numId="4" w16cid:durableId="197089283">
    <w:abstractNumId w:val="1"/>
  </w:num>
  <w:num w:numId="5" w16cid:durableId="132559">
    <w:abstractNumId w:val="1"/>
    <w:lvlOverride w:ilvl="0">
      <w:startOverride w:val="1"/>
    </w:lvlOverride>
  </w:num>
  <w:num w:numId="6" w16cid:durableId="1045759637">
    <w:abstractNumId w:val="0"/>
  </w:num>
  <w:num w:numId="7" w16cid:durableId="1257179689">
    <w:abstractNumId w:val="9"/>
  </w:num>
  <w:num w:numId="8" w16cid:durableId="2097707064">
    <w:abstractNumId w:val="6"/>
  </w:num>
  <w:num w:numId="9" w16cid:durableId="2133934454">
    <w:abstractNumId w:val="3"/>
  </w:num>
  <w:num w:numId="10" w16cid:durableId="537472639">
    <w:abstractNumId w:val="8"/>
  </w:num>
  <w:num w:numId="11" w16cid:durableId="19880448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C7"/>
    <w:rsid w:val="000021F0"/>
    <w:rsid w:val="00002EB4"/>
    <w:rsid w:val="000144B1"/>
    <w:rsid w:val="0001504F"/>
    <w:rsid w:val="00027895"/>
    <w:rsid w:val="00031DB1"/>
    <w:rsid w:val="000423EC"/>
    <w:rsid w:val="00045D47"/>
    <w:rsid w:val="0005014F"/>
    <w:rsid w:val="00062815"/>
    <w:rsid w:val="00064B38"/>
    <w:rsid w:val="0006727B"/>
    <w:rsid w:val="000A1E13"/>
    <w:rsid w:val="000B2A6A"/>
    <w:rsid w:val="000B35B8"/>
    <w:rsid w:val="000B5360"/>
    <w:rsid w:val="000C0128"/>
    <w:rsid w:val="000C1ED5"/>
    <w:rsid w:val="000E4F75"/>
    <w:rsid w:val="000E59D9"/>
    <w:rsid w:val="000E73CD"/>
    <w:rsid w:val="00106FA9"/>
    <w:rsid w:val="001118E5"/>
    <w:rsid w:val="001144AA"/>
    <w:rsid w:val="0011520A"/>
    <w:rsid w:val="00134369"/>
    <w:rsid w:val="001350DF"/>
    <w:rsid w:val="001404B8"/>
    <w:rsid w:val="001423DA"/>
    <w:rsid w:val="00142570"/>
    <w:rsid w:val="001467A6"/>
    <w:rsid w:val="00157446"/>
    <w:rsid w:val="0017194B"/>
    <w:rsid w:val="001811A2"/>
    <w:rsid w:val="00195677"/>
    <w:rsid w:val="00195754"/>
    <w:rsid w:val="00197310"/>
    <w:rsid w:val="001C61ED"/>
    <w:rsid w:val="001D1E49"/>
    <w:rsid w:val="001D38FA"/>
    <w:rsid w:val="001D55F7"/>
    <w:rsid w:val="001D6BB8"/>
    <w:rsid w:val="001E1492"/>
    <w:rsid w:val="001F288B"/>
    <w:rsid w:val="001F603F"/>
    <w:rsid w:val="001F75FA"/>
    <w:rsid w:val="0020652D"/>
    <w:rsid w:val="0020786C"/>
    <w:rsid w:val="002214A2"/>
    <w:rsid w:val="0022191A"/>
    <w:rsid w:val="00222788"/>
    <w:rsid w:val="0022433C"/>
    <w:rsid w:val="00224883"/>
    <w:rsid w:val="00224AC3"/>
    <w:rsid w:val="002308B0"/>
    <w:rsid w:val="002355C2"/>
    <w:rsid w:val="002523D9"/>
    <w:rsid w:val="002614DE"/>
    <w:rsid w:val="00266778"/>
    <w:rsid w:val="002756C8"/>
    <w:rsid w:val="00282DC9"/>
    <w:rsid w:val="00293598"/>
    <w:rsid w:val="002957F7"/>
    <w:rsid w:val="002968C4"/>
    <w:rsid w:val="002A57DE"/>
    <w:rsid w:val="002A58C2"/>
    <w:rsid w:val="002B2A22"/>
    <w:rsid w:val="002C055D"/>
    <w:rsid w:val="002D734C"/>
    <w:rsid w:val="002F0634"/>
    <w:rsid w:val="002F6B10"/>
    <w:rsid w:val="003056B0"/>
    <w:rsid w:val="00311FE8"/>
    <w:rsid w:val="00313E72"/>
    <w:rsid w:val="00314134"/>
    <w:rsid w:val="00316E4D"/>
    <w:rsid w:val="003243E2"/>
    <w:rsid w:val="00362616"/>
    <w:rsid w:val="00374920"/>
    <w:rsid w:val="00375D67"/>
    <w:rsid w:val="00394BA5"/>
    <w:rsid w:val="0039785E"/>
    <w:rsid w:val="003A05B2"/>
    <w:rsid w:val="003D4DA1"/>
    <w:rsid w:val="003E1A5E"/>
    <w:rsid w:val="003E306E"/>
    <w:rsid w:val="003E776A"/>
    <w:rsid w:val="003F68FE"/>
    <w:rsid w:val="00407FBD"/>
    <w:rsid w:val="00425056"/>
    <w:rsid w:val="00443C6D"/>
    <w:rsid w:val="00455BD6"/>
    <w:rsid w:val="00460383"/>
    <w:rsid w:val="004621A6"/>
    <w:rsid w:val="00465818"/>
    <w:rsid w:val="004669C2"/>
    <w:rsid w:val="00480E2F"/>
    <w:rsid w:val="00483060"/>
    <w:rsid w:val="0049185B"/>
    <w:rsid w:val="00496FF3"/>
    <w:rsid w:val="004A01E1"/>
    <w:rsid w:val="004B7AFA"/>
    <w:rsid w:val="004D3A67"/>
    <w:rsid w:val="004F2FF1"/>
    <w:rsid w:val="004F5787"/>
    <w:rsid w:val="00502844"/>
    <w:rsid w:val="00505B70"/>
    <w:rsid w:val="00521406"/>
    <w:rsid w:val="00525084"/>
    <w:rsid w:val="00534843"/>
    <w:rsid w:val="0053620E"/>
    <w:rsid w:val="00540375"/>
    <w:rsid w:val="005419EB"/>
    <w:rsid w:val="00542EC2"/>
    <w:rsid w:val="00547E1F"/>
    <w:rsid w:val="00547E3A"/>
    <w:rsid w:val="005529DB"/>
    <w:rsid w:val="005552AB"/>
    <w:rsid w:val="00557F1A"/>
    <w:rsid w:val="00560C75"/>
    <w:rsid w:val="00572F54"/>
    <w:rsid w:val="0058353D"/>
    <w:rsid w:val="005A2C80"/>
    <w:rsid w:val="005A5C06"/>
    <w:rsid w:val="005B0D7A"/>
    <w:rsid w:val="005C57D4"/>
    <w:rsid w:val="005C5E41"/>
    <w:rsid w:val="005D58C6"/>
    <w:rsid w:val="005D6DE0"/>
    <w:rsid w:val="005D72CE"/>
    <w:rsid w:val="005D75BA"/>
    <w:rsid w:val="005E517F"/>
    <w:rsid w:val="005E5458"/>
    <w:rsid w:val="005F3275"/>
    <w:rsid w:val="00602B8C"/>
    <w:rsid w:val="00603D02"/>
    <w:rsid w:val="00610659"/>
    <w:rsid w:val="0061559C"/>
    <w:rsid w:val="006379EF"/>
    <w:rsid w:val="006416B8"/>
    <w:rsid w:val="00642B21"/>
    <w:rsid w:val="006546EF"/>
    <w:rsid w:val="0069031F"/>
    <w:rsid w:val="006913AA"/>
    <w:rsid w:val="006A047C"/>
    <w:rsid w:val="006A2540"/>
    <w:rsid w:val="006B3377"/>
    <w:rsid w:val="006C3157"/>
    <w:rsid w:val="006C35B3"/>
    <w:rsid w:val="006D45A8"/>
    <w:rsid w:val="006D4C86"/>
    <w:rsid w:val="006E6B34"/>
    <w:rsid w:val="006F05C3"/>
    <w:rsid w:val="007006FF"/>
    <w:rsid w:val="0073322D"/>
    <w:rsid w:val="00743E87"/>
    <w:rsid w:val="00751EA8"/>
    <w:rsid w:val="00761886"/>
    <w:rsid w:val="00766929"/>
    <w:rsid w:val="00774DAC"/>
    <w:rsid w:val="007910B8"/>
    <w:rsid w:val="007A5C52"/>
    <w:rsid w:val="007B1C6E"/>
    <w:rsid w:val="007C4335"/>
    <w:rsid w:val="007F632B"/>
    <w:rsid w:val="00803DAE"/>
    <w:rsid w:val="008050A8"/>
    <w:rsid w:val="00811721"/>
    <w:rsid w:val="008138D4"/>
    <w:rsid w:val="00820F68"/>
    <w:rsid w:val="00853C45"/>
    <w:rsid w:val="00862647"/>
    <w:rsid w:val="00862F4F"/>
    <w:rsid w:val="0087570B"/>
    <w:rsid w:val="008812E2"/>
    <w:rsid w:val="008A0190"/>
    <w:rsid w:val="008A3930"/>
    <w:rsid w:val="008B1D72"/>
    <w:rsid w:val="008B5B99"/>
    <w:rsid w:val="008C0552"/>
    <w:rsid w:val="008C2505"/>
    <w:rsid w:val="008C399B"/>
    <w:rsid w:val="008D53DC"/>
    <w:rsid w:val="008F11FE"/>
    <w:rsid w:val="00906F62"/>
    <w:rsid w:val="009221E8"/>
    <w:rsid w:val="00934C8B"/>
    <w:rsid w:val="00936557"/>
    <w:rsid w:val="00941C6C"/>
    <w:rsid w:val="00951107"/>
    <w:rsid w:val="00960B76"/>
    <w:rsid w:val="00965730"/>
    <w:rsid w:val="00993EB6"/>
    <w:rsid w:val="009C3274"/>
    <w:rsid w:val="009D68B2"/>
    <w:rsid w:val="009D7F24"/>
    <w:rsid w:val="009F0EED"/>
    <w:rsid w:val="00A0203F"/>
    <w:rsid w:val="00A12220"/>
    <w:rsid w:val="00A1272D"/>
    <w:rsid w:val="00A12D02"/>
    <w:rsid w:val="00A238C9"/>
    <w:rsid w:val="00A27BA5"/>
    <w:rsid w:val="00A33FC4"/>
    <w:rsid w:val="00A52F19"/>
    <w:rsid w:val="00A754FA"/>
    <w:rsid w:val="00A85C57"/>
    <w:rsid w:val="00A87BEC"/>
    <w:rsid w:val="00A91248"/>
    <w:rsid w:val="00A96D59"/>
    <w:rsid w:val="00AA2E6D"/>
    <w:rsid w:val="00AA392B"/>
    <w:rsid w:val="00AA62BD"/>
    <w:rsid w:val="00AB4A51"/>
    <w:rsid w:val="00AC347B"/>
    <w:rsid w:val="00AC51B6"/>
    <w:rsid w:val="00AD1D10"/>
    <w:rsid w:val="00AD557F"/>
    <w:rsid w:val="00AD7E23"/>
    <w:rsid w:val="00AE07DA"/>
    <w:rsid w:val="00B018BA"/>
    <w:rsid w:val="00B05B13"/>
    <w:rsid w:val="00B11FCB"/>
    <w:rsid w:val="00B1389F"/>
    <w:rsid w:val="00B15F7D"/>
    <w:rsid w:val="00B16489"/>
    <w:rsid w:val="00B41D71"/>
    <w:rsid w:val="00B5167E"/>
    <w:rsid w:val="00B54314"/>
    <w:rsid w:val="00B553B7"/>
    <w:rsid w:val="00B606D2"/>
    <w:rsid w:val="00B62205"/>
    <w:rsid w:val="00B6549C"/>
    <w:rsid w:val="00B7184F"/>
    <w:rsid w:val="00B71CE9"/>
    <w:rsid w:val="00B757C7"/>
    <w:rsid w:val="00B81898"/>
    <w:rsid w:val="00B94BE1"/>
    <w:rsid w:val="00B97EF8"/>
    <w:rsid w:val="00BA4ACB"/>
    <w:rsid w:val="00BB13BE"/>
    <w:rsid w:val="00BC532E"/>
    <w:rsid w:val="00BD2823"/>
    <w:rsid w:val="00BD3806"/>
    <w:rsid w:val="00BD4274"/>
    <w:rsid w:val="00BD6F0D"/>
    <w:rsid w:val="00BE08B1"/>
    <w:rsid w:val="00BF18AA"/>
    <w:rsid w:val="00BF2F8B"/>
    <w:rsid w:val="00C01C44"/>
    <w:rsid w:val="00C0453C"/>
    <w:rsid w:val="00C11B64"/>
    <w:rsid w:val="00C43A9D"/>
    <w:rsid w:val="00C54046"/>
    <w:rsid w:val="00C56297"/>
    <w:rsid w:val="00C6289A"/>
    <w:rsid w:val="00C84191"/>
    <w:rsid w:val="00C933B8"/>
    <w:rsid w:val="00CA1817"/>
    <w:rsid w:val="00CA6F4D"/>
    <w:rsid w:val="00CD2C2B"/>
    <w:rsid w:val="00CD3091"/>
    <w:rsid w:val="00CF45CA"/>
    <w:rsid w:val="00CF51C9"/>
    <w:rsid w:val="00CF637A"/>
    <w:rsid w:val="00CF7933"/>
    <w:rsid w:val="00D04C53"/>
    <w:rsid w:val="00D066DD"/>
    <w:rsid w:val="00D15070"/>
    <w:rsid w:val="00D2075B"/>
    <w:rsid w:val="00D274F6"/>
    <w:rsid w:val="00D27587"/>
    <w:rsid w:val="00D46306"/>
    <w:rsid w:val="00D65087"/>
    <w:rsid w:val="00D855D6"/>
    <w:rsid w:val="00DC446A"/>
    <w:rsid w:val="00DC4B42"/>
    <w:rsid w:val="00DF1797"/>
    <w:rsid w:val="00E0177A"/>
    <w:rsid w:val="00E40560"/>
    <w:rsid w:val="00E52325"/>
    <w:rsid w:val="00E65966"/>
    <w:rsid w:val="00E709F3"/>
    <w:rsid w:val="00E77406"/>
    <w:rsid w:val="00E84961"/>
    <w:rsid w:val="00E90ABA"/>
    <w:rsid w:val="00E93567"/>
    <w:rsid w:val="00EA2346"/>
    <w:rsid w:val="00EC2E05"/>
    <w:rsid w:val="00ED5AA4"/>
    <w:rsid w:val="00ED6DA0"/>
    <w:rsid w:val="00EE7054"/>
    <w:rsid w:val="00EF64D5"/>
    <w:rsid w:val="00F01D04"/>
    <w:rsid w:val="00F042A6"/>
    <w:rsid w:val="00F14103"/>
    <w:rsid w:val="00F20D3A"/>
    <w:rsid w:val="00F45876"/>
    <w:rsid w:val="00F46585"/>
    <w:rsid w:val="00F61EC7"/>
    <w:rsid w:val="00F667A7"/>
    <w:rsid w:val="00F71BFE"/>
    <w:rsid w:val="00F75B45"/>
    <w:rsid w:val="00F84FC2"/>
    <w:rsid w:val="00F86236"/>
    <w:rsid w:val="00F87A49"/>
    <w:rsid w:val="00F90053"/>
    <w:rsid w:val="00F9441A"/>
    <w:rsid w:val="00FA4508"/>
    <w:rsid w:val="00FB2FBA"/>
    <w:rsid w:val="00FB450A"/>
    <w:rsid w:val="00FD51EC"/>
    <w:rsid w:val="00FE12AD"/>
    <w:rsid w:val="00FE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EB650"/>
  <w15:chartTrackingRefBased/>
  <w15:docId w15:val="{5CD8063E-6EFB-444B-8213-F2B429D5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SVA | Body Copy"/>
    <w:qFormat/>
    <w:rsid w:val="0011520A"/>
    <w:pPr>
      <w:spacing w:line="240" w:lineRule="auto"/>
    </w:pPr>
    <w:rPr>
      <w:rFonts w:ascii="Noto Sans" w:hAnsi="Noto Sans" w:cs="Noto Sans"/>
      <w:color w:val="2C2C30" w:themeColor="text2"/>
      <w:spacing w:val="2"/>
      <w:sz w:val="20"/>
      <w:szCs w:val="20"/>
    </w:rPr>
  </w:style>
  <w:style w:type="paragraph" w:styleId="Heading1">
    <w:name w:val="heading 1"/>
    <w:aliases w:val="BSVA | Heading 1"/>
    <w:basedOn w:val="Normal"/>
    <w:next w:val="Normal"/>
    <w:link w:val="Heading1Char"/>
    <w:uiPriority w:val="9"/>
    <w:qFormat/>
    <w:rsid w:val="003A05B2"/>
    <w:pPr>
      <w:spacing w:before="400" w:line="440" w:lineRule="exact"/>
      <w:outlineLvl w:val="0"/>
    </w:pPr>
    <w:rPr>
      <w:rFonts w:ascii="Chillax Semibold" w:hAnsi="Chillax Semibold" w:cs="Noto Sans SemBd"/>
      <w:color w:val="1B1EA9" w:themeColor="accent2"/>
      <w:sz w:val="36"/>
      <w:szCs w:val="36"/>
    </w:rPr>
  </w:style>
  <w:style w:type="paragraph" w:styleId="Heading2">
    <w:name w:val="heading 2"/>
    <w:aliases w:val="BSVA | Heading 2"/>
    <w:basedOn w:val="Normal"/>
    <w:next w:val="Normal"/>
    <w:link w:val="Heading2Char"/>
    <w:uiPriority w:val="9"/>
    <w:unhideWhenUsed/>
    <w:qFormat/>
    <w:rsid w:val="006D45A8"/>
    <w:pPr>
      <w:spacing w:before="400" w:line="400" w:lineRule="exact"/>
      <w:outlineLvl w:val="1"/>
    </w:pPr>
    <w:rPr>
      <w:rFonts w:ascii="Chillax Semibold" w:hAnsi="Chillax Semibold" w:cs="Noto Sans SemBd"/>
      <w:sz w:val="32"/>
      <w:szCs w:val="32"/>
    </w:rPr>
  </w:style>
  <w:style w:type="paragraph" w:styleId="Heading3">
    <w:name w:val="heading 3"/>
    <w:aliases w:val="BSVA | Heading 3"/>
    <w:basedOn w:val="Normal"/>
    <w:next w:val="Normal"/>
    <w:link w:val="Heading3Char"/>
    <w:uiPriority w:val="9"/>
    <w:unhideWhenUsed/>
    <w:qFormat/>
    <w:rsid w:val="00936557"/>
    <w:pPr>
      <w:spacing w:before="400" w:line="380" w:lineRule="exact"/>
      <w:outlineLvl w:val="2"/>
    </w:pPr>
    <w:rPr>
      <w:rFonts w:ascii="Chillax Semibold" w:hAnsi="Chillax Semibold" w:cs="Noto Sans SemBd"/>
      <w:sz w:val="28"/>
      <w:szCs w:val="28"/>
    </w:rPr>
  </w:style>
  <w:style w:type="paragraph" w:styleId="Heading4">
    <w:name w:val="heading 4"/>
    <w:aliases w:val="BSVA | Heading 4"/>
    <w:basedOn w:val="Normal"/>
    <w:next w:val="Normal"/>
    <w:link w:val="Heading4Char"/>
    <w:uiPriority w:val="9"/>
    <w:unhideWhenUsed/>
    <w:qFormat/>
    <w:rsid w:val="00936557"/>
    <w:pPr>
      <w:spacing w:before="400" w:line="340" w:lineRule="exact"/>
      <w:outlineLvl w:val="3"/>
    </w:pPr>
    <w:rPr>
      <w:rFonts w:ascii="Chillax Semibold" w:hAnsi="Chillax Semibold" w:cs="Noto Sans SemB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6FF"/>
    <w:pPr>
      <w:keepNext/>
      <w:keepLines/>
      <w:spacing w:before="80" w:after="40"/>
      <w:outlineLvl w:val="4"/>
    </w:pPr>
    <w:rPr>
      <w:rFonts w:eastAsiaTheme="majorEastAsia" w:cstheme="majorBidi"/>
      <w:color w:val="6388F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SVA | Heading 1 Char"/>
    <w:basedOn w:val="DefaultParagraphFont"/>
    <w:link w:val="Heading1"/>
    <w:uiPriority w:val="9"/>
    <w:rsid w:val="003A05B2"/>
    <w:rPr>
      <w:rFonts w:ascii="Chillax Semibold" w:hAnsi="Chillax Semibold" w:cs="Noto Sans SemBd"/>
      <w:color w:val="1B1EA9" w:themeColor="accent2"/>
      <w:spacing w:val="2"/>
      <w:sz w:val="36"/>
      <w:szCs w:val="36"/>
    </w:rPr>
  </w:style>
  <w:style w:type="character" w:customStyle="1" w:styleId="Heading2Char">
    <w:name w:val="Heading 2 Char"/>
    <w:aliases w:val="BSVA | Heading 2 Char"/>
    <w:basedOn w:val="DefaultParagraphFont"/>
    <w:link w:val="Heading2"/>
    <w:uiPriority w:val="9"/>
    <w:rsid w:val="006D45A8"/>
    <w:rPr>
      <w:rFonts w:ascii="Chillax Semibold" w:hAnsi="Chillax Semibold" w:cs="Noto Sans SemBd"/>
      <w:color w:val="2C2C30" w:themeColor="text2"/>
      <w:spacing w:val="2"/>
      <w:sz w:val="32"/>
      <w:szCs w:val="32"/>
    </w:rPr>
  </w:style>
  <w:style w:type="character" w:customStyle="1" w:styleId="Heading3Char">
    <w:name w:val="Heading 3 Char"/>
    <w:aliases w:val="BSVA | Heading 3 Char"/>
    <w:basedOn w:val="DefaultParagraphFont"/>
    <w:link w:val="Heading3"/>
    <w:uiPriority w:val="9"/>
    <w:rsid w:val="00936557"/>
    <w:rPr>
      <w:rFonts w:ascii="Chillax Semibold" w:hAnsi="Chillax Semibold" w:cs="Noto Sans SemBd"/>
      <w:color w:val="2C2C30" w:themeColor="text2"/>
      <w:spacing w:val="2"/>
      <w:sz w:val="28"/>
      <w:szCs w:val="28"/>
    </w:rPr>
  </w:style>
  <w:style w:type="character" w:customStyle="1" w:styleId="Heading4Char">
    <w:name w:val="Heading 4 Char"/>
    <w:aliases w:val="BSVA | Heading 4 Char"/>
    <w:basedOn w:val="DefaultParagraphFont"/>
    <w:link w:val="Heading4"/>
    <w:uiPriority w:val="9"/>
    <w:rsid w:val="00936557"/>
    <w:rPr>
      <w:rFonts w:ascii="Chillax Semibold" w:hAnsi="Chillax Semibold" w:cs="Noto Sans SemBd"/>
      <w:color w:val="2C2C30" w:themeColor="text2"/>
      <w:spacing w:val="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6FF"/>
    <w:rPr>
      <w:rFonts w:eastAsiaTheme="majorEastAsia" w:cstheme="majorBidi"/>
      <w:color w:val="6388F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6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BSVA | Quote Body"/>
    <w:basedOn w:val="Normal"/>
    <w:next w:val="Normal"/>
    <w:link w:val="QuoteChar"/>
    <w:uiPriority w:val="29"/>
    <w:qFormat/>
    <w:rsid w:val="002957F7"/>
    <w:rPr>
      <w:color w:val="1B1EA9" w:themeColor="accent2"/>
    </w:rPr>
  </w:style>
  <w:style w:type="character" w:customStyle="1" w:styleId="QuoteChar">
    <w:name w:val="Quote Char"/>
    <w:aliases w:val="BSVA | Quote Body Char"/>
    <w:basedOn w:val="DefaultParagraphFont"/>
    <w:link w:val="Quote"/>
    <w:uiPriority w:val="29"/>
    <w:rsid w:val="002957F7"/>
    <w:rPr>
      <w:rFonts w:ascii="Noto Sans" w:hAnsi="Noto Sans" w:cs="Noto Sans"/>
      <w:color w:val="1B1EA9" w:themeColor="accent2"/>
      <w:spacing w:val="2"/>
      <w:sz w:val="20"/>
      <w:szCs w:val="20"/>
    </w:rPr>
  </w:style>
  <w:style w:type="paragraph" w:styleId="ListParagraph">
    <w:name w:val="List Paragraph"/>
    <w:basedOn w:val="Normal"/>
    <w:uiPriority w:val="34"/>
    <w:qFormat/>
    <w:rsid w:val="00700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6FF"/>
    <w:rPr>
      <w:i/>
      <w:iCs/>
      <w:color w:val="6388F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6FF"/>
    <w:pPr>
      <w:pBdr>
        <w:top w:val="single" w:sz="4" w:space="10" w:color="6388FF" w:themeColor="accent1" w:themeShade="BF"/>
        <w:bottom w:val="single" w:sz="4" w:space="10" w:color="6388FF" w:themeColor="accent1" w:themeShade="BF"/>
      </w:pBdr>
      <w:spacing w:before="360" w:after="360"/>
      <w:ind w:left="864" w:right="864"/>
      <w:jc w:val="center"/>
    </w:pPr>
    <w:rPr>
      <w:i/>
      <w:iCs/>
      <w:color w:val="6388F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6FF"/>
    <w:rPr>
      <w:i/>
      <w:iCs/>
      <w:color w:val="6388F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6FF"/>
    <w:rPr>
      <w:b/>
      <w:bCs/>
      <w:smallCaps/>
      <w:color w:val="6388FF" w:themeColor="accent1" w:themeShade="BF"/>
      <w:spacing w:val="5"/>
    </w:rPr>
  </w:style>
  <w:style w:type="paragraph" w:styleId="Header">
    <w:name w:val="header"/>
    <w:aliases w:val="BSVA | Header"/>
    <w:basedOn w:val="Normal"/>
    <w:link w:val="HeaderChar"/>
    <w:uiPriority w:val="99"/>
    <w:unhideWhenUsed/>
    <w:rsid w:val="00E709F3"/>
    <w:pPr>
      <w:tabs>
        <w:tab w:val="center" w:pos="4513"/>
        <w:tab w:val="right" w:pos="9026"/>
      </w:tabs>
      <w:spacing w:after="0"/>
    </w:pPr>
    <w:rPr>
      <w:b/>
      <w:bCs/>
      <w:noProof/>
      <w:sz w:val="14"/>
      <w:szCs w:val="14"/>
    </w:rPr>
  </w:style>
  <w:style w:type="character" w:customStyle="1" w:styleId="HeaderChar">
    <w:name w:val="Header Char"/>
    <w:aliases w:val="BSVA | Header Char"/>
    <w:basedOn w:val="DefaultParagraphFont"/>
    <w:link w:val="Header"/>
    <w:uiPriority w:val="99"/>
    <w:rsid w:val="00E709F3"/>
    <w:rPr>
      <w:rFonts w:ascii="Noto Sans" w:hAnsi="Noto Sans" w:cs="Noto Sans"/>
      <w:b/>
      <w:bCs/>
      <w:noProof/>
      <w:color w:val="2C2C30" w:themeColor="text2"/>
      <w:spacing w:val="2"/>
      <w:sz w:val="14"/>
      <w:szCs w:val="14"/>
    </w:rPr>
  </w:style>
  <w:style w:type="paragraph" w:styleId="Footer">
    <w:name w:val="footer"/>
    <w:aliases w:val="BSVA | Footer"/>
    <w:basedOn w:val="Normal"/>
    <w:link w:val="FooterChar"/>
    <w:uiPriority w:val="99"/>
    <w:unhideWhenUsed/>
    <w:rsid w:val="00BC532E"/>
    <w:pPr>
      <w:tabs>
        <w:tab w:val="center" w:pos="4513"/>
        <w:tab w:val="right" w:pos="9026"/>
      </w:tabs>
      <w:spacing w:after="0"/>
    </w:pPr>
    <w:rPr>
      <w:sz w:val="14"/>
      <w:szCs w:val="14"/>
    </w:rPr>
  </w:style>
  <w:style w:type="character" w:customStyle="1" w:styleId="FooterChar">
    <w:name w:val="Footer Char"/>
    <w:aliases w:val="BSVA | Footer Char"/>
    <w:basedOn w:val="DefaultParagraphFont"/>
    <w:link w:val="Footer"/>
    <w:uiPriority w:val="99"/>
    <w:rsid w:val="00BC532E"/>
    <w:rPr>
      <w:rFonts w:ascii="Noto Sans" w:hAnsi="Noto Sans" w:cs="Noto Sans"/>
      <w:sz w:val="14"/>
      <w:szCs w:val="14"/>
    </w:rPr>
  </w:style>
  <w:style w:type="paragraph" w:customStyle="1" w:styleId="BSVACoverTitle">
    <w:name w:val="BSVA | Cover Title"/>
    <w:basedOn w:val="Normal"/>
    <w:qFormat/>
    <w:rsid w:val="009D7F24"/>
    <w:pPr>
      <w:spacing w:before="11600" w:after="0" w:line="500" w:lineRule="exact"/>
    </w:pPr>
    <w:rPr>
      <w:rFonts w:ascii="Chillax Semibold" w:hAnsi="Chillax Semibold"/>
      <w:b/>
      <w:bCs/>
      <w:sz w:val="60"/>
      <w:szCs w:val="60"/>
    </w:rPr>
  </w:style>
  <w:style w:type="paragraph" w:customStyle="1" w:styleId="BSVACoverSubtitle">
    <w:name w:val="BSVA | Cover Subtitle"/>
    <w:basedOn w:val="BSVACoverTitle"/>
    <w:qFormat/>
    <w:rsid w:val="009D7F24"/>
    <w:pPr>
      <w:spacing w:before="300"/>
    </w:pPr>
    <w:rPr>
      <w:rFonts w:ascii="Noto Sans" w:hAnsi="Noto Sans"/>
      <w:b w:val="0"/>
      <w:bCs w:val="0"/>
      <w:color w:val="003FFF" w:themeColor="accent3"/>
      <w:sz w:val="56"/>
      <w:szCs w:val="56"/>
    </w:rPr>
  </w:style>
  <w:style w:type="paragraph" w:customStyle="1" w:styleId="BSVACoverVersionDescription">
    <w:name w:val="BSVA | Cover Version Description"/>
    <w:basedOn w:val="BSVACoverSubtitle"/>
    <w:qFormat/>
    <w:rsid w:val="00BD2823"/>
    <w:rPr>
      <w:color w:val="2C2C30" w:themeColor="text2"/>
      <w:sz w:val="36"/>
      <w:szCs w:val="36"/>
    </w:rPr>
  </w:style>
  <w:style w:type="paragraph" w:customStyle="1" w:styleId="BSVACoverDate">
    <w:name w:val="BSVA | Cover Date"/>
    <w:basedOn w:val="BSVACoverVersionDescription"/>
    <w:qFormat/>
    <w:rsid w:val="00BD2823"/>
    <w:pPr>
      <w:spacing w:before="120" w:line="240" w:lineRule="auto"/>
    </w:pPr>
    <w:rPr>
      <w:sz w:val="20"/>
      <w:szCs w:val="20"/>
    </w:rPr>
  </w:style>
  <w:style w:type="paragraph" w:styleId="TOCHeading">
    <w:name w:val="TOC Heading"/>
    <w:aliases w:val="BSVA | TOC Heading"/>
    <w:basedOn w:val="Normal"/>
    <w:next w:val="Normal"/>
    <w:uiPriority w:val="39"/>
    <w:unhideWhenUsed/>
    <w:qFormat/>
    <w:rsid w:val="00AE07DA"/>
    <w:pPr>
      <w:spacing w:after="200" w:line="400" w:lineRule="exact"/>
    </w:pPr>
    <w:rPr>
      <w:rFonts w:ascii="Chillax Semibold" w:hAnsi="Chillax Semibold"/>
      <w:b/>
      <w:bCs/>
      <w:color w:val="1B1EA9" w:themeColor="accent2"/>
      <w:sz w:val="36"/>
      <w:szCs w:val="36"/>
    </w:rPr>
  </w:style>
  <w:style w:type="character" w:styleId="Strong">
    <w:name w:val="Strong"/>
    <w:aliases w:val="BSVA | Strong"/>
    <w:basedOn w:val="DefaultParagraphFont"/>
    <w:uiPriority w:val="22"/>
    <w:qFormat/>
    <w:rsid w:val="00FB450A"/>
    <w:rPr>
      <w:b/>
      <w:bCs/>
    </w:rPr>
  </w:style>
  <w:style w:type="paragraph" w:styleId="ListBullet">
    <w:name w:val="List Bullet"/>
    <w:aliases w:val="BSVA | List Bullet 1,SF | List Bullet"/>
    <w:basedOn w:val="Normal"/>
    <w:uiPriority w:val="99"/>
    <w:unhideWhenUsed/>
    <w:rsid w:val="000021F0"/>
    <w:pPr>
      <w:numPr>
        <w:numId w:val="2"/>
      </w:numPr>
      <w:tabs>
        <w:tab w:val="clear" w:pos="360"/>
      </w:tabs>
      <w:spacing w:after="100"/>
      <w:ind w:left="278" w:hanging="278"/>
    </w:pPr>
  </w:style>
  <w:style w:type="numbering" w:customStyle="1" w:styleId="CurrentList1">
    <w:name w:val="Current List1"/>
    <w:uiPriority w:val="99"/>
    <w:rsid w:val="000021F0"/>
    <w:pPr>
      <w:numPr>
        <w:numId w:val="3"/>
      </w:numPr>
    </w:pPr>
  </w:style>
  <w:style w:type="paragraph" w:styleId="ListBullet2">
    <w:name w:val="List Bullet 2"/>
    <w:aliases w:val="BSVA | List Bullet 2"/>
    <w:basedOn w:val="Normal"/>
    <w:uiPriority w:val="99"/>
    <w:unhideWhenUsed/>
    <w:rsid w:val="001D38FA"/>
    <w:pPr>
      <w:numPr>
        <w:numId w:val="4"/>
      </w:numPr>
      <w:tabs>
        <w:tab w:val="clear" w:pos="643"/>
      </w:tabs>
      <w:spacing w:after="100"/>
      <w:ind w:left="590" w:hanging="306"/>
      <w:contextualSpacing/>
    </w:pPr>
  </w:style>
  <w:style w:type="paragraph" w:styleId="ListBullet3">
    <w:name w:val="List Bullet 3"/>
    <w:aliases w:val="BSVA | List Bullet 3"/>
    <w:basedOn w:val="Normal"/>
    <w:uiPriority w:val="99"/>
    <w:unhideWhenUsed/>
    <w:rsid w:val="00BD3806"/>
    <w:pPr>
      <w:numPr>
        <w:numId w:val="6"/>
      </w:numPr>
      <w:spacing w:after="100"/>
      <w:ind w:left="924" w:hanging="357"/>
    </w:pPr>
  </w:style>
  <w:style w:type="character" w:styleId="Hyperlink">
    <w:name w:val="Hyperlink"/>
    <w:aliases w:val="BSVA | Hyperlink"/>
    <w:basedOn w:val="DefaultParagraphFont"/>
    <w:uiPriority w:val="99"/>
    <w:unhideWhenUsed/>
    <w:rsid w:val="00B16489"/>
    <w:rPr>
      <w:color w:val="1B1EA9" w:themeColor="accent2"/>
      <w:u w:val="single"/>
    </w:rPr>
  </w:style>
  <w:style w:type="character" w:styleId="FollowedHyperlink">
    <w:name w:val="FollowedHyperlink"/>
    <w:aliases w:val="BSVA | FollowedHyperlink"/>
    <w:basedOn w:val="FootnoteReference"/>
    <w:uiPriority w:val="99"/>
    <w:unhideWhenUsed/>
    <w:rsid w:val="004F5787"/>
    <w:rPr>
      <w:rFonts w:ascii="Noto Sans SemBd" w:hAnsi="Noto Sans SemBd" w:cs="Noto Sans SemBd"/>
      <w:b/>
      <w:bCs/>
      <w:color w:val="1B1EA9" w:themeColor="accent2"/>
      <w:sz w:val="22"/>
      <w:szCs w:val="22"/>
      <w:vertAlign w:val="superscript"/>
    </w:rPr>
  </w:style>
  <w:style w:type="character" w:styleId="PageNumber">
    <w:name w:val="page number"/>
    <w:aliases w:val="BSVA | Page Number"/>
    <w:uiPriority w:val="99"/>
    <w:unhideWhenUsed/>
    <w:rsid w:val="00293598"/>
  </w:style>
  <w:style w:type="paragraph" w:styleId="FootnoteText">
    <w:name w:val="footnote text"/>
    <w:aliases w:val="BSVA | Footnote Text"/>
    <w:basedOn w:val="Normal"/>
    <w:link w:val="FootnoteTextChar"/>
    <w:uiPriority w:val="99"/>
    <w:unhideWhenUsed/>
    <w:rsid w:val="005D6DE0"/>
    <w:pPr>
      <w:spacing w:after="40"/>
      <w:ind w:left="113" w:hanging="113"/>
    </w:pPr>
    <w:rPr>
      <w:sz w:val="16"/>
      <w:szCs w:val="16"/>
    </w:rPr>
  </w:style>
  <w:style w:type="character" w:customStyle="1" w:styleId="FootnoteTextChar">
    <w:name w:val="Footnote Text Char"/>
    <w:aliases w:val="BSVA | Footnote Text Char"/>
    <w:basedOn w:val="DefaultParagraphFont"/>
    <w:link w:val="FootnoteText"/>
    <w:uiPriority w:val="99"/>
    <w:rsid w:val="005D6DE0"/>
    <w:rPr>
      <w:rFonts w:ascii="Noto Sans" w:hAnsi="Noto Sans" w:cs="Noto Sans"/>
      <w:color w:val="2C2C30" w:themeColor="text2"/>
      <w:spacing w:val="2"/>
      <w:sz w:val="16"/>
      <w:szCs w:val="16"/>
    </w:rPr>
  </w:style>
  <w:style w:type="character" w:styleId="FootnoteReference">
    <w:name w:val="footnote reference"/>
    <w:aliases w:val="BSVA | Footnote Reference"/>
    <w:basedOn w:val="DefaultParagraphFont"/>
    <w:uiPriority w:val="99"/>
    <w:unhideWhenUsed/>
    <w:rsid w:val="00D65087"/>
    <w:rPr>
      <w:rFonts w:ascii="Noto Sans SemBd" w:hAnsi="Noto Sans SemBd" w:cs="Noto Sans SemBd"/>
      <w:b/>
      <w:bCs/>
      <w:color w:val="1B1EA9" w:themeColor="accent2"/>
      <w:vertAlign w:val="superscript"/>
    </w:rPr>
  </w:style>
  <w:style w:type="paragraph" w:customStyle="1" w:styleId="BSVAIntroduction">
    <w:name w:val="BSVA | Introduction"/>
    <w:basedOn w:val="Normal"/>
    <w:qFormat/>
    <w:rsid w:val="009F0EED"/>
    <w:pPr>
      <w:spacing w:after="280"/>
    </w:pPr>
    <w:rPr>
      <w:rFonts w:ascii="Noto Sans SemBd" w:hAnsi="Noto Sans SemBd" w:cs="Noto Sans SemBd"/>
      <w:b/>
      <w:bCs/>
      <w:sz w:val="24"/>
      <w:szCs w:val="24"/>
    </w:rPr>
  </w:style>
  <w:style w:type="paragraph" w:customStyle="1" w:styleId="BSVAQuote">
    <w:name w:val="BSVA | Quote"/>
    <w:basedOn w:val="Normal"/>
    <w:qFormat/>
    <w:rsid w:val="00F90053"/>
    <w:pPr>
      <w:spacing w:before="160"/>
    </w:pPr>
    <w:rPr>
      <w:rFonts w:ascii="Chillax Semibold" w:hAnsi="Chillax Semibold" w:cs="Noto Sans SemBd"/>
      <w:b/>
      <w:bCs/>
      <w:color w:val="003FFF" w:themeColor="accent3"/>
      <w:sz w:val="28"/>
      <w:szCs w:val="28"/>
    </w:rPr>
  </w:style>
  <w:style w:type="paragraph" w:customStyle="1" w:styleId="BSVASectionDividerHeading">
    <w:name w:val="BSVA | Section Divider Heading"/>
    <w:basedOn w:val="Normal"/>
    <w:qFormat/>
    <w:rsid w:val="00483060"/>
    <w:pPr>
      <w:spacing w:before="1200" w:after="0" w:line="760" w:lineRule="exact"/>
      <w:ind w:right="1956"/>
    </w:pPr>
    <w:rPr>
      <w:rFonts w:ascii="Chillax Semibold" w:hAnsi="Chillax Semibold" w:cs="Noto Sans SemBd"/>
      <w:b/>
      <w:bCs/>
      <w:color w:val="003FFF" w:themeColor="accent3"/>
      <w:sz w:val="60"/>
      <w:szCs w:val="60"/>
    </w:rPr>
  </w:style>
  <w:style w:type="paragraph" w:customStyle="1" w:styleId="BSVASectionDividerSubheading">
    <w:name w:val="BSVA | Section Divider Subheading"/>
    <w:basedOn w:val="BSVASectionDividerHeading"/>
    <w:qFormat/>
    <w:rsid w:val="009D68B2"/>
    <w:pPr>
      <w:spacing w:before="700" w:line="240" w:lineRule="auto"/>
      <w:ind w:right="2495"/>
    </w:pPr>
    <w:rPr>
      <w:rFonts w:ascii="Noto Sans" w:hAnsi="Noto Sans" w:cs="Noto Sans"/>
      <w:b w:val="0"/>
      <w:bCs w:val="0"/>
      <w:color w:val="2C2C30" w:themeColor="text2"/>
      <w:sz w:val="28"/>
      <w:szCs w:val="28"/>
    </w:rPr>
  </w:style>
  <w:style w:type="paragraph" w:customStyle="1" w:styleId="BSVANumberedlistheadinglevel2">
    <w:name w:val="BSVA | Numbered list heading level 2"/>
    <w:basedOn w:val="Heading3"/>
    <w:next w:val="BSVANumberedlistheadinglevel1"/>
    <w:qFormat/>
    <w:rsid w:val="00751EA8"/>
    <w:pPr>
      <w:numPr>
        <w:ilvl w:val="1"/>
        <w:numId w:val="10"/>
      </w:numPr>
      <w:spacing w:line="400" w:lineRule="exact"/>
      <w:ind w:left="709" w:hanging="709"/>
      <w:outlineLvl w:val="0"/>
    </w:pPr>
    <w:rPr>
      <w:rFonts w:eastAsiaTheme="minorEastAsia" w:cstheme="minorBidi"/>
      <w:spacing w:val="0"/>
      <w:kern w:val="0"/>
      <w:sz w:val="32"/>
      <w:szCs w:val="32"/>
      <w14:ligatures w14:val="none"/>
    </w:rPr>
  </w:style>
  <w:style w:type="paragraph" w:customStyle="1" w:styleId="BSVANumberedlistheadinglevel3">
    <w:name w:val="BSVA | Numbered list heading level 3"/>
    <w:basedOn w:val="BSVANumberedlistheadinglevel2"/>
    <w:autoRedefine/>
    <w:qFormat/>
    <w:rsid w:val="00751EA8"/>
    <w:pPr>
      <w:numPr>
        <w:ilvl w:val="2"/>
      </w:numPr>
      <w:ind w:left="980" w:hanging="952"/>
      <w:outlineLvl w:val="1"/>
    </w:pPr>
  </w:style>
  <w:style w:type="paragraph" w:customStyle="1" w:styleId="BSVANumberedlistheadinglevel4">
    <w:name w:val="BSVA | Numbered list heading level 4"/>
    <w:basedOn w:val="BSVANumberedlistheadinglevel2"/>
    <w:qFormat/>
    <w:rsid w:val="00B94BE1"/>
    <w:pPr>
      <w:numPr>
        <w:ilvl w:val="3"/>
      </w:numPr>
      <w:ind w:left="1316" w:hanging="1260"/>
    </w:pPr>
  </w:style>
  <w:style w:type="paragraph" w:customStyle="1" w:styleId="Numberedlistheadinglevel4">
    <w:name w:val="Numbered list heading level 4"/>
    <w:basedOn w:val="BSVANumberedlistheadinglevel2"/>
    <w:qFormat/>
    <w:rsid w:val="004B7AFA"/>
    <w:pPr>
      <w:numPr>
        <w:ilvl w:val="4"/>
      </w:numPr>
      <w:tabs>
        <w:tab w:val="left" w:pos="2520"/>
      </w:tabs>
    </w:pPr>
  </w:style>
  <w:style w:type="paragraph" w:customStyle="1" w:styleId="Numberedlistheadinglevel5">
    <w:name w:val="Numbered list heading level 5"/>
    <w:basedOn w:val="BSVANumberedlistheadinglevel2"/>
    <w:qFormat/>
    <w:rsid w:val="004B7AFA"/>
    <w:pPr>
      <w:numPr>
        <w:ilvl w:val="5"/>
      </w:numPr>
      <w:tabs>
        <w:tab w:val="left" w:pos="3010"/>
      </w:tabs>
    </w:pPr>
  </w:style>
  <w:style w:type="paragraph" w:customStyle="1" w:styleId="Numberedlistheadinglevel6">
    <w:name w:val="Numbered list heading level 6"/>
    <w:basedOn w:val="BSVANumberedlistheadinglevel2"/>
    <w:qFormat/>
    <w:rsid w:val="004B7AFA"/>
    <w:pPr>
      <w:numPr>
        <w:ilvl w:val="6"/>
      </w:numPr>
      <w:tabs>
        <w:tab w:val="left" w:pos="3586"/>
      </w:tabs>
    </w:pPr>
  </w:style>
  <w:style w:type="paragraph" w:customStyle="1" w:styleId="BSVANumberedlistheadinglevel1">
    <w:name w:val="BSVA | Numbered list heading level 1"/>
    <w:basedOn w:val="Heading2"/>
    <w:qFormat/>
    <w:rsid w:val="00B94BE1"/>
    <w:pPr>
      <w:numPr>
        <w:numId w:val="10"/>
      </w:numPr>
      <w:spacing w:line="440" w:lineRule="exact"/>
      <w:ind w:left="490" w:hanging="490"/>
    </w:pPr>
    <w:rPr>
      <w:rFonts w:eastAsiaTheme="minorEastAsia" w:cstheme="minorBidi"/>
      <w:color w:val="1B1EA9" w:themeColor="accent2"/>
      <w:spacing w:val="0"/>
      <w:kern w:val="0"/>
      <w:sz w:val="36"/>
      <w:szCs w:val="36"/>
      <w14:ligatures w14:val="none"/>
    </w:rPr>
  </w:style>
  <w:style w:type="paragraph" w:customStyle="1" w:styleId="BSVABoxedListBullet1">
    <w:name w:val="BSVA | Boxed List Bullet 1"/>
    <w:basedOn w:val="ListBullet"/>
    <w:qFormat/>
    <w:rsid w:val="006546EF"/>
    <w:pPr>
      <w:numPr>
        <w:numId w:val="1"/>
      </w:numPr>
      <w:pBdr>
        <w:top w:val="single" w:sz="18" w:space="15" w:color="DAE3FF" w:themeColor="accent1"/>
        <w:left w:val="single" w:sz="18" w:space="19" w:color="DAE3FF" w:themeColor="accent1"/>
        <w:bottom w:val="single" w:sz="18" w:space="15" w:color="DAE3FF" w:themeColor="accent1"/>
        <w:right w:val="single" w:sz="18" w:space="19" w:color="DAE3FF" w:themeColor="accent1"/>
      </w:pBdr>
      <w:shd w:val="clear" w:color="auto" w:fill="DAE3FF" w:themeFill="accent1"/>
      <w:ind w:left="811" w:right="457" w:hanging="357"/>
    </w:pPr>
    <w:rPr>
      <w:noProof/>
      <w:color w:val="auto"/>
      <w:spacing w:val="0"/>
      <w:lang w:val="en-US"/>
    </w:rPr>
  </w:style>
  <w:style w:type="paragraph" w:customStyle="1" w:styleId="BSVABoxedHeading">
    <w:name w:val="BSVA | Boxed Heading"/>
    <w:basedOn w:val="Normal"/>
    <w:qFormat/>
    <w:rsid w:val="006546EF"/>
    <w:pPr>
      <w:widowControl w:val="0"/>
      <w:pBdr>
        <w:top w:val="single" w:sz="18" w:space="15" w:color="DAE3FF" w:themeColor="accent1"/>
        <w:left w:val="single" w:sz="18" w:space="19" w:color="DAE3FF" w:themeColor="accent1"/>
        <w:bottom w:val="single" w:sz="18" w:space="15" w:color="DAE3FF" w:themeColor="accent1"/>
        <w:right w:val="single" w:sz="18" w:space="19" w:color="DAE3FF" w:themeColor="accent1"/>
      </w:pBdr>
      <w:shd w:val="clear" w:color="auto" w:fill="DAE3FF" w:themeFill="accent1"/>
      <w:suppressAutoHyphens/>
      <w:snapToGrid w:val="0"/>
      <w:spacing w:before="180"/>
      <w:ind w:left="454" w:right="457"/>
    </w:pPr>
    <w:rPr>
      <w:rFonts w:ascii="Chillax Semibold" w:hAnsi="Chillax Semibold" w:cs="Source Sans Pro Regular"/>
      <w:noProof/>
      <w:spacing w:val="6"/>
      <w:kern w:val="6"/>
      <w:sz w:val="26"/>
      <w:szCs w:val="26"/>
      <w:lang w:val="en-US" w:eastAsia="en-GB"/>
      <w14:textOutline w14:w="9525" w14:cap="rnd" w14:cmpd="sng" w14:algn="ctr">
        <w14:noFill/>
        <w14:prstDash w14:val="solid"/>
        <w14:bevel/>
      </w14:textOutline>
      <w14:ligatures w14:val="none"/>
    </w:rPr>
  </w:style>
  <w:style w:type="paragraph" w:customStyle="1" w:styleId="BSVABoxedTextQuote">
    <w:name w:val="BSVA | Boxed Text Quote"/>
    <w:basedOn w:val="Normal"/>
    <w:uiPriority w:val="18"/>
    <w:qFormat/>
    <w:rsid w:val="00F042A6"/>
    <w:pPr>
      <w:widowControl w:val="0"/>
      <w:pBdr>
        <w:top w:val="single" w:sz="18" w:space="15" w:color="DAE3FF" w:themeColor="accent1"/>
        <w:left w:val="single" w:sz="18" w:space="19" w:color="DAE3FF" w:themeColor="accent1"/>
        <w:bottom w:val="single" w:sz="18" w:space="15" w:color="DAE3FF" w:themeColor="accent1"/>
        <w:right w:val="single" w:sz="18" w:space="19" w:color="DAE3FF" w:themeColor="accent1"/>
      </w:pBdr>
      <w:shd w:val="clear" w:color="auto" w:fill="DAE3FF" w:themeFill="accent1"/>
      <w:suppressAutoHyphens/>
      <w:snapToGrid w:val="0"/>
      <w:spacing w:before="160"/>
      <w:ind w:left="454" w:right="457"/>
    </w:pPr>
    <w:rPr>
      <w:rFonts w:ascii="Chillax Semibold" w:hAnsi="Chillax Semibold" w:cs="Source Sans Pro Regular"/>
      <w:b/>
      <w:noProof/>
      <w:color w:val="003FFF" w:themeColor="accent3"/>
      <w:spacing w:val="14"/>
      <w:kern w:val="6"/>
      <w:sz w:val="26"/>
      <w:szCs w:val="26"/>
      <w:lang w:val="en-US" w:eastAsia="en-GB"/>
      <w14:textOutline w14:w="9525" w14:cap="rnd" w14:cmpd="sng" w14:algn="ctr">
        <w14:noFill/>
        <w14:prstDash w14:val="solid"/>
        <w14:bevel/>
      </w14:textOutline>
      <w14:ligatures w14:val="none"/>
    </w:rPr>
  </w:style>
  <w:style w:type="paragraph" w:customStyle="1" w:styleId="BSVABoxedTextQuoteName">
    <w:name w:val="BSVA | Boxed Text Quote – Name"/>
    <w:basedOn w:val="BSVABoxedTextQuote"/>
    <w:qFormat/>
    <w:rsid w:val="005C57D4"/>
    <w:pPr>
      <w:jc w:val="right"/>
    </w:pPr>
    <w:rPr>
      <w:b w:val="0"/>
      <w:bCs/>
      <w:color w:val="1B1EA9" w:themeColor="accent2"/>
      <w:spacing w:val="10"/>
      <w:sz w:val="22"/>
      <w:szCs w:val="22"/>
    </w:rPr>
  </w:style>
  <w:style w:type="paragraph" w:customStyle="1" w:styleId="BSVAABCList">
    <w:name w:val="BSVA | ABC List"/>
    <w:basedOn w:val="ListParagraph"/>
    <w:qFormat/>
    <w:rsid w:val="00B018BA"/>
    <w:pPr>
      <w:numPr>
        <w:numId w:val="11"/>
      </w:numPr>
      <w:ind w:left="476" w:hanging="434"/>
      <w:contextualSpacing w:val="0"/>
    </w:pPr>
  </w:style>
  <w:style w:type="paragraph" w:customStyle="1" w:styleId="BSVATableText">
    <w:name w:val="BSVA | Table Text"/>
    <w:basedOn w:val="Normal"/>
    <w:qFormat/>
    <w:rsid w:val="0022433C"/>
    <w:pPr>
      <w:spacing w:after="0" w:line="200" w:lineRule="exact"/>
    </w:pPr>
    <w:rPr>
      <w:rFonts w:eastAsiaTheme="minorEastAsia"/>
      <w:color w:val="0B0814"/>
      <w:spacing w:val="0"/>
      <w:kern w:val="0"/>
      <w:sz w:val="16"/>
      <w:szCs w:val="16"/>
      <w14:ligatures w14:val="none"/>
    </w:rPr>
  </w:style>
  <w:style w:type="paragraph" w:customStyle="1" w:styleId="BSVATableHeader">
    <w:name w:val="BSVA | Table Header"/>
    <w:basedOn w:val="Normal"/>
    <w:qFormat/>
    <w:rsid w:val="008812E2"/>
    <w:pPr>
      <w:spacing w:after="0"/>
    </w:pPr>
    <w:rPr>
      <w:rFonts w:ascii="Noto Sans SemBd" w:eastAsiaTheme="minorEastAsia" w:hAnsi="Noto Sans SemBd" w:cs="Noto Sans SemBd"/>
      <w:b/>
      <w:bCs/>
      <w:color w:val="0B0814"/>
      <w:spacing w:val="0"/>
      <w:kern w:val="0"/>
      <w:sz w:val="22"/>
      <w:szCs w:val="16"/>
      <w14:ligatures w14:val="none"/>
    </w:rPr>
  </w:style>
  <w:style w:type="table" w:customStyle="1" w:styleId="nChain">
    <w:name w:val="nChain"/>
    <w:basedOn w:val="TableNormal"/>
    <w:uiPriority w:val="99"/>
    <w:rsid w:val="008812E2"/>
    <w:pPr>
      <w:spacing w:after="0" w:line="240" w:lineRule="auto"/>
    </w:pPr>
    <w:rPr>
      <w:rFonts w:ascii="Gibson" w:hAnsi="Gibson"/>
      <w:kern w:val="0"/>
      <w:sz w:val="16"/>
      <w14:ligatures w14:val="none"/>
    </w:rPr>
    <w:tblPr>
      <w:tblStyleRowBandSize w:val="1"/>
      <w:tblStyleColBandSize w:val="1"/>
      <w:tblBorders>
        <w:top w:val="single" w:sz="4" w:space="0" w:color="1B1EA9" w:themeColor="accent2"/>
        <w:bottom w:val="single" w:sz="4" w:space="0" w:color="1B1EA9" w:themeColor="accent2"/>
        <w:insideH w:val="single" w:sz="4" w:space="0" w:color="1B1EA9" w:themeColor="accent2"/>
      </w:tblBorders>
      <w:tblCellMar>
        <w:top w:w="142" w:type="dxa"/>
        <w:left w:w="142" w:type="dxa"/>
        <w:bottom w:w="142" w:type="dxa"/>
        <w:right w:w="142" w:type="dxa"/>
      </w:tblCellMar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8FF" w:themeFill="accent3" w:themeFillTint="33"/>
      </w:tcPr>
    </w:tblStylePr>
    <w:tblStylePr w:type="band1Horz">
      <w:tblPr/>
      <w:tcPr>
        <w:shd w:val="clear" w:color="auto" w:fill="CCD8FF" w:themeFill="accent3" w:themeFillTint="33"/>
      </w:tcPr>
    </w:tblStylePr>
  </w:style>
  <w:style w:type="table" w:styleId="TableGrid">
    <w:name w:val="Table Grid"/>
    <w:basedOn w:val="TableNormal"/>
    <w:rsid w:val="00224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Wphotoandcredit">
    <w:name w:val="GW photo and credit"/>
    <w:basedOn w:val="TableNormal"/>
    <w:uiPriority w:val="99"/>
    <w:rsid w:val="00A12220"/>
    <w:pPr>
      <w:suppressAutoHyphens/>
      <w:spacing w:after="0" w:line="200" w:lineRule="exact"/>
    </w:pPr>
    <w:rPr>
      <w:color w:val="000000" w:themeColor="text1"/>
      <w:kern w:val="0"/>
      <w:sz w:val="16"/>
      <w:lang w:eastAsia="en-GB"/>
      <w14:ligatures w14:val="none"/>
    </w:rPr>
    <w:tblPr>
      <w:tblCellMar>
        <w:left w:w="0" w:type="dxa"/>
        <w:right w:w="0" w:type="dxa"/>
      </w:tblCellMar>
    </w:tblPr>
    <w:trPr>
      <w:cantSplit/>
    </w:trPr>
  </w:style>
  <w:style w:type="paragraph" w:customStyle="1" w:styleId="BSVAFigurePicturedescription">
    <w:name w:val="BSVA | Figure – Picture description"/>
    <w:basedOn w:val="Caption"/>
    <w:uiPriority w:val="29"/>
    <w:qFormat/>
    <w:rsid w:val="00BE08B1"/>
    <w:pPr>
      <w:spacing w:before="240"/>
      <w:ind w:firstLine="11"/>
    </w:pPr>
    <w:rPr>
      <w:rFonts w:cs="Arial"/>
      <w:i w:val="0"/>
      <w:noProof/>
      <w:spacing w:val="0"/>
      <w:kern w:val="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12220"/>
    <w:pPr>
      <w:spacing w:after="200"/>
    </w:pPr>
    <w:rPr>
      <w:i/>
      <w:iCs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D6F0D"/>
    <w:rPr>
      <w:color w:val="605E5C"/>
      <w:shd w:val="clear" w:color="auto" w:fill="E1DFDD"/>
    </w:rPr>
  </w:style>
  <w:style w:type="paragraph" w:styleId="TOC1">
    <w:name w:val="toc 1"/>
    <w:aliases w:val="BSVA | TOC 1"/>
    <w:basedOn w:val="Normal"/>
    <w:next w:val="Normal"/>
    <w:autoRedefine/>
    <w:uiPriority w:val="39"/>
    <w:unhideWhenUsed/>
    <w:rsid w:val="00A1272D"/>
    <w:pPr>
      <w:tabs>
        <w:tab w:val="left" w:pos="518"/>
        <w:tab w:val="left" w:pos="826"/>
        <w:tab w:val="left" w:pos="882"/>
        <w:tab w:val="right" w:leader="dot" w:pos="9854"/>
      </w:tabs>
      <w:spacing w:before="120" w:after="0"/>
    </w:pPr>
    <w:rPr>
      <w:rFonts w:ascii="Noto Sans SemBd" w:hAnsi="Noto Sans SemBd" w:cstheme="minorHAnsi"/>
      <w:b/>
      <w:bCs/>
      <w:iCs/>
      <w:noProof/>
      <w:szCs w:val="24"/>
    </w:rPr>
  </w:style>
  <w:style w:type="paragraph" w:styleId="TOC2">
    <w:name w:val="toc 2"/>
    <w:aliases w:val="BSVA | TOC 2"/>
    <w:basedOn w:val="TOC1"/>
    <w:next w:val="Normal"/>
    <w:autoRedefine/>
    <w:uiPriority w:val="39"/>
    <w:unhideWhenUsed/>
    <w:rsid w:val="0058353D"/>
    <w:pPr>
      <w:tabs>
        <w:tab w:val="clear" w:pos="518"/>
        <w:tab w:val="clear" w:pos="826"/>
        <w:tab w:val="clear" w:pos="882"/>
        <w:tab w:val="left" w:pos="308"/>
      </w:tabs>
    </w:pPr>
    <w:rPr>
      <w:rFonts w:ascii="Noto Sans" w:hAnsi="Noto Sans" w:cs="Noto Sans"/>
      <w:b w:val="0"/>
      <w:bCs w:val="0"/>
      <w:iCs w:val="0"/>
    </w:rPr>
  </w:style>
  <w:style w:type="paragraph" w:styleId="TOC3">
    <w:name w:val="toc 3"/>
    <w:aliases w:val="BSVA | TOC 3"/>
    <w:basedOn w:val="TOC2"/>
    <w:next w:val="Normal"/>
    <w:autoRedefine/>
    <w:uiPriority w:val="39"/>
    <w:unhideWhenUsed/>
    <w:rsid w:val="0058353D"/>
    <w:pPr>
      <w:tabs>
        <w:tab w:val="clear" w:pos="308"/>
        <w:tab w:val="left" w:pos="840"/>
        <w:tab w:val="left" w:pos="868"/>
      </w:tabs>
      <w:ind w:left="364" w:hanging="14"/>
    </w:pPr>
  </w:style>
  <w:style w:type="paragraph" w:styleId="TOC4">
    <w:name w:val="toc 4"/>
    <w:aliases w:val="BSVA | TOC 4"/>
    <w:basedOn w:val="TOC2"/>
    <w:next w:val="Normal"/>
    <w:autoRedefine/>
    <w:uiPriority w:val="39"/>
    <w:unhideWhenUsed/>
    <w:rsid w:val="0058353D"/>
    <w:pPr>
      <w:tabs>
        <w:tab w:val="clear" w:pos="308"/>
        <w:tab w:val="left" w:pos="1498"/>
      </w:tabs>
      <w:ind w:left="854"/>
    </w:pPr>
  </w:style>
  <w:style w:type="paragraph" w:styleId="TOC5">
    <w:name w:val="toc 5"/>
    <w:aliases w:val="BSVA | TOC 5"/>
    <w:basedOn w:val="TOC2"/>
    <w:next w:val="Normal"/>
    <w:autoRedefine/>
    <w:uiPriority w:val="39"/>
    <w:unhideWhenUsed/>
    <w:rsid w:val="0058353D"/>
    <w:pPr>
      <w:tabs>
        <w:tab w:val="clear" w:pos="308"/>
        <w:tab w:val="left" w:pos="2352"/>
      </w:tabs>
      <w:ind w:left="1512" w:firstLine="14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07FBD"/>
    <w:pPr>
      <w:spacing w:after="0"/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07FBD"/>
    <w:pPr>
      <w:spacing w:after="0"/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07FBD"/>
    <w:pPr>
      <w:spacing w:after="0"/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07FBD"/>
    <w:pPr>
      <w:spacing w:after="0"/>
      <w:ind w:left="1600"/>
    </w:pPr>
    <w:rPr>
      <w:rFonts w:asciiTheme="minorHAnsi" w:hAnsiTheme="minorHAnsi"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2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chart" Target="charts/chart1.xml"/><Relationship Id="rId17" Type="http://schemas.openxmlformats.org/officeDocument/2006/relationships/header" Target="header2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3.xml"/><Relationship Id="rId22" Type="http://schemas.openxmlformats.org/officeDocument/2006/relationships/header" Target="header4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6.emf"/><Relationship Id="rId1" Type="http://schemas.openxmlformats.org/officeDocument/2006/relationships/image" Target="media/image5.png"/></Relationships>
</file>

<file path=word/_rels/header4.xml.rels><?xml version='1.0' encoding='UTF-8' standalone='yes'?>
<Relationships xmlns="http://schemas.openxmlformats.org/package/2006/relationships"><Relationship Id="rId3" Type="http://schemas.openxmlformats.org/officeDocument/2006/relationships/hyperlink" Target="http://association.bsvblockchain.org/" TargetMode="External"/><Relationship Id="rId2" Type="http://schemas.openxmlformats.org/officeDocument/2006/relationships/hyperlink" Target="mailto:contact@bsvassociation.org" TargetMode="External"/><Relationship Id="rId1" Type="http://schemas.openxmlformats.org/officeDocument/2006/relationships/image" Target="media/image5.png"/><Relationship Id="rId6" Type="http://schemas.openxmlformats.org/officeDocument/2006/relationships/image" Target="media/image6.emf"/><Relationship Id="rId5" Type="http://schemas.openxmlformats.org/officeDocument/2006/relationships/hyperlink" Target="http://association.bsvblockchain.org/" TargetMode="External"/><Relationship Id="rId4" Type="http://schemas.openxmlformats.org/officeDocument/2006/relationships/hyperlink" Target="mailto:contact@bsvassociation.or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carlosblasco/Library/Group%20Containers/UBF8T346G9.Office/User%20Content.localized/Templates.localized/BSV%20Association%20Word%20template%202025.dotx" TargetMode="Externa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ln>
              <a:noFill/>
            </a:ln>
          </c:spPr>
          <c:dPt>
            <c:idx val="0"/>
            <c:bubble3D val="0"/>
            <c:spPr>
              <a:solidFill>
                <a:schemeClr val="tx2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3C8-7A47-B2C7-A9C37DFC1E46}"/>
              </c:ext>
            </c:extLst>
          </c:dPt>
          <c:dPt>
            <c:idx val="1"/>
            <c:bubble3D val="0"/>
            <c:spPr>
              <a:solidFill>
                <a:schemeClr val="accent3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A3C8-7A47-B2C7-A9C37DFC1E46}"/>
              </c:ext>
            </c:extLst>
          </c:dPt>
          <c:dPt>
            <c:idx val="2"/>
            <c:bubble3D val="0"/>
            <c:spPr>
              <a:solidFill>
                <a:schemeClr val="accent2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A3C8-7A47-B2C7-A9C37DFC1E46}"/>
              </c:ext>
            </c:extLst>
          </c:dPt>
          <c:dPt>
            <c:idx val="3"/>
            <c:bubble3D val="0"/>
            <c:spPr>
              <a:solidFill>
                <a:schemeClr val="accent5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A3C8-7A47-B2C7-A9C37DFC1E46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3C8-7A47-B2C7-A9C37DFC1E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70" baseline="0">
              <a:solidFill>
                <a:schemeClr val="tx2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spPr>
            <a:solidFill>
              <a:schemeClr val="tx2"/>
            </a:solidFill>
          </c:spPr>
          <c:dPt>
            <c:idx val="0"/>
            <c:bubble3D val="0"/>
            <c:spPr>
              <a:solidFill>
                <a:schemeClr val="tx2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5B5D-FC46-88B5-E1F3E6314507}"/>
              </c:ext>
            </c:extLst>
          </c:dPt>
          <c:dPt>
            <c:idx val="1"/>
            <c:bubble3D val="0"/>
            <c:spPr>
              <a:solidFill>
                <a:schemeClr val="accent3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5B5D-FC46-88B5-E1F3E6314507}"/>
              </c:ext>
            </c:extLst>
          </c:dPt>
          <c:cat>
            <c:strRef>
              <c:f>Sheet1!$A$2:$A$3</c:f>
              <c:strCache>
                <c:ptCount val="2"/>
                <c:pt idx="0">
                  <c:v>1st Qtr</c:v>
                </c:pt>
                <c:pt idx="1">
                  <c:v>2nd Qtr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8.1999999999999993</c:v>
                </c:pt>
                <c:pt idx="1">
                  <c:v>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B5D-FC46-88B5-E1F3E63145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70" baseline="0">
              <a:solidFill>
                <a:schemeClr val="tx2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sz="1300" b="1" i="0">
                <a:solidFill>
                  <a:schemeClr val="accent2"/>
                </a:solidFill>
                <a:latin typeface="Chillax Semibold" pitchFamily="2" charset="77"/>
              </a:rPr>
              <a:t>This is a chart title if needed,</a:t>
            </a:r>
            <a:r>
              <a:rPr lang="en-GB" sz="1300" b="1" i="0" baseline="0">
                <a:solidFill>
                  <a:schemeClr val="accent2"/>
                </a:solidFill>
                <a:latin typeface="Chillax Semibold" pitchFamily="2" charset="77"/>
              </a:rPr>
              <a:t> Chillax Semi Bold– 13Pt</a:t>
            </a:r>
            <a:endParaRPr lang="en-GB" sz="1300" b="1" i="0">
              <a:solidFill>
                <a:schemeClr val="accent2"/>
              </a:solidFill>
              <a:latin typeface="Chillax Semibold" pitchFamily="2" charset="77"/>
            </a:endParaRPr>
          </a:p>
        </c:rich>
      </c:tx>
      <c:layout>
        <c:manualLayout>
          <c:xMode val="edge"/>
          <c:yMode val="edge"/>
          <c:x val="0.16242067513837999"/>
          <c:y val="4.194901581155211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>
        <c:manualLayout>
          <c:layoutTarget val="inner"/>
          <c:xMode val="edge"/>
          <c:yMode val="edge"/>
          <c:x val="5.9026228278842192E-2"/>
          <c:y val="0.12062641492175531"/>
          <c:w val="0.94097377172115781"/>
          <c:h val="0.6899838149466553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7AD-3541-B9F2-D9664B594BD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7AD-3541-B9F2-D9664B594BD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7AD-3541-B9F2-D9664B594B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04745712"/>
        <c:axId val="604850544"/>
      </c:barChart>
      <c:catAx>
        <c:axId val="6047457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accent2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spc="70" baseline="0">
                <a:solidFill>
                  <a:schemeClr val="tx2"/>
                </a:solidFill>
                <a:latin typeface="Noto Sans SemBd" panose="020B0502040504020204" pitchFamily="34" charset="0"/>
                <a:ea typeface="Noto Sans SemBd" panose="020B0502040504020204" pitchFamily="34" charset="0"/>
                <a:cs typeface="Noto Sans SemBd" panose="020B0502040504020204" pitchFamily="34" charset="0"/>
              </a:defRPr>
            </a:pPr>
            <a:endParaRPr lang="en-US"/>
          </a:p>
        </c:txPr>
        <c:crossAx val="604850544"/>
        <c:crosses val="autoZero"/>
        <c:auto val="1"/>
        <c:lblAlgn val="ctr"/>
        <c:lblOffset val="100"/>
        <c:noMultiLvlLbl val="0"/>
      </c:catAx>
      <c:valAx>
        <c:axId val="6048505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2"/>
                </a:solidFill>
                <a:latin typeface="Noto Sans" panose="020B0502040504020204" pitchFamily="34" charset="0"/>
                <a:ea typeface="Noto Sans" panose="020B0502040504020204" pitchFamily="34" charset="0"/>
                <a:cs typeface="Noto Sans" panose="020B0502040504020204" pitchFamily="34" charset="0"/>
              </a:defRPr>
            </a:pPr>
            <a:endParaRPr lang="en-US"/>
          </a:p>
        </c:txPr>
        <c:crossAx val="6047457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spc="70" baseline="0">
              <a:solidFill>
                <a:schemeClr val="tx1"/>
              </a:solidFill>
              <a:latin typeface="Noto Sans" panose="020B0502040504020204" pitchFamily="34" charset="0"/>
              <a:ea typeface="Noto Sans" panose="020B0502040504020204" pitchFamily="34" charset="0"/>
              <a:cs typeface="Noto Sans" panose="020B0502040504020204" pitchFamily="34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BSVA">
  <a:themeElements>
    <a:clrScheme name="BSVA">
      <a:dk1>
        <a:srgbClr val="000000"/>
      </a:dk1>
      <a:lt1>
        <a:srgbClr val="FFFFFF"/>
      </a:lt1>
      <a:dk2>
        <a:srgbClr val="2C2C30"/>
      </a:dk2>
      <a:lt2>
        <a:srgbClr val="EFF0F7"/>
      </a:lt2>
      <a:accent1>
        <a:srgbClr val="DAE3FF"/>
      </a:accent1>
      <a:accent2>
        <a:srgbClr val="1B1EA9"/>
      </a:accent2>
      <a:accent3>
        <a:srgbClr val="003FFF"/>
      </a:accent3>
      <a:accent4>
        <a:srgbClr val="003FFF"/>
      </a:accent4>
      <a:accent5>
        <a:srgbClr val="00E6FF"/>
      </a:accent5>
      <a:accent6>
        <a:srgbClr val="00E6FF"/>
      </a:accent6>
      <a:hlink>
        <a:srgbClr val="000000"/>
      </a:hlink>
      <a:folHlink>
        <a:srgbClr val="2C2D3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9525">
          <a:solidFill>
            <a:schemeClr val="accent2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square" lIns="0" tIns="0" rIns="0" bIns="0" rtlCol="0" upright="1"/>
      <a:lstStyle/>
    </a:txDef>
  </a:objectDefaults>
  <a:extraClrSchemeLst/>
  <a:extLst>
    <a:ext uri="{05A4C25C-085E-4340-85A3-A5531E510DB2}">
      <thm15:themeFamily xmlns:thm15="http://schemas.microsoft.com/office/thememl/2012/main" name="BSVA" id="{7AFBE444-206A-6E4D-874A-9CC5A0F979A3}" vid="{1817CDD0-4489-CE43-B561-DA19786A0341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81489b-2e9a-4353-af3e-80ab3e63c2b1">
      <Terms xmlns="http://schemas.microsoft.com/office/infopath/2007/PartnerControls"/>
    </lcf76f155ced4ddcb4097134ff3c332f>
    <TaxCatchAll xmlns="e710b220-1881-42a9-a703-89ec0bbaa8e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D865BA56D3334C8B590043C68A9E13" ma:contentTypeVersion="12" ma:contentTypeDescription="Create a new document." ma:contentTypeScope="" ma:versionID="d47d1dbbd13073c35b2f30cc23b92763">
  <xsd:schema xmlns:xsd="http://www.w3.org/2001/XMLSchema" xmlns:xs="http://www.w3.org/2001/XMLSchema" xmlns:p="http://schemas.microsoft.com/office/2006/metadata/properties" xmlns:ns2="2581489b-2e9a-4353-af3e-80ab3e63c2b1" xmlns:ns3="e710b220-1881-42a9-a703-89ec0bbaa8e5" targetNamespace="http://schemas.microsoft.com/office/2006/metadata/properties" ma:root="true" ma:fieldsID="6702c31989b27b83cb2d8b429f00dfa2" ns2:_="" ns3:_="">
    <xsd:import namespace="2581489b-2e9a-4353-af3e-80ab3e63c2b1"/>
    <xsd:import namespace="e710b220-1881-42a9-a703-89ec0bbaa8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81489b-2e9a-4353-af3e-80ab3e63c2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25a285-9df4-4903-a476-2bc7d05d58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0b220-1881-42a9-a703-89ec0bbaa8e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db6967-ff08-4075-b31b-30a90b6022d2}" ma:internalName="TaxCatchAll" ma:showField="CatchAllData" ma:web="e710b220-1881-42a9-a703-89ec0bbaa8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A27D9A-7955-40EF-A71D-080A10BC3BCB}">
  <ds:schemaRefs>
    <ds:schemaRef ds:uri="http://schemas.microsoft.com/office/2006/metadata/properties"/>
    <ds:schemaRef ds:uri="http://schemas.microsoft.com/office/infopath/2007/PartnerControls"/>
    <ds:schemaRef ds:uri="2581489b-2e9a-4353-af3e-80ab3e63c2b1"/>
    <ds:schemaRef ds:uri="e710b220-1881-42a9-a703-89ec0bbaa8e5"/>
  </ds:schemaRefs>
</ds:datastoreItem>
</file>

<file path=customXml/itemProps2.xml><?xml version="1.0" encoding="utf-8"?>
<ds:datastoreItem xmlns:ds="http://schemas.openxmlformats.org/officeDocument/2006/customXml" ds:itemID="{5CCBBC7B-87F5-4963-BE52-5CD5017085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22D7AE-C820-4846-ACF2-B31D99DE52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81489b-2e9a-4353-af3e-80ab3e63c2b1"/>
    <ds:schemaRef ds:uri="e710b220-1881-42a9-a703-89ec0bbaa8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CE24AE-EC81-FC42-8BAF-D33107B40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BSV Association Word template 2025.dotx</Template>
  <TotalTime>0</TotalTime>
  <Pages>11</Pages>
  <Words>1424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BSV Association Word template 2025</vt:lpstr>
    </vt:vector>
  </TitlesOfParts>
  <Manager/>
  <Company>Bopper Media</Company>
  <LinksUpToDate>false</LinksUpToDate>
  <CharactersWithSpaces>9527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BSV Association Word template 2025</dc:title>
  <dc:subject/>
  <dc:creator>Carlos Blasco</dc:creator>
  <cp:keywords/>
  <dc:description/>
  <cp:lastModifiedBy>Carlos Bueno</cp:lastModifiedBy>
  <cp:revision>1</cp:revision>
  <cp:lastPrinted>2025-04-09T19:59:00Z</cp:lastPrinted>
  <dcterms:created xsi:type="dcterms:W3CDTF">2026-03-02T09:16:00Z</dcterms:created>
  <dcterms:modified xsi:type="dcterms:W3CDTF">2026-03-02T09:16:00Z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0x01010031D865BA56D3334C8B590043C68A9E13</vt:lpwstr>
  </property>
</Properties>
</file>