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40AF"/>
          <w:sz w:val="60"/>
        </w:rPr>
        <w:t>💊 FarmaConsulta</w:t>
      </w:r>
    </w:p>
    <w:p>
      <w:pPr>
        <w:spacing w:after="40"/>
        <w:jc w:val="center"/>
      </w:pPr>
      <w:r>
        <w:rPr>
          <w:color w:val="4B5563"/>
          <w:sz w:val="28"/>
        </w:rPr>
        <w:t>Informe del proyecto</w:t>
      </w:r>
    </w:p>
    <w:p>
      <w:pPr>
        <w:spacing w:after="320"/>
        <w:jc w:val="center"/>
      </w:pPr>
      <w:r>
        <w:rPr>
          <w:i/>
          <w:color w:val="4B5563"/>
          <w:sz w:val="21"/>
        </w:rPr>
        <w:t>Prácticas Profesionalizantes — Tecnicatura en Ciencia de Datos (ISPC)</w:t>
      </w:r>
    </w:p>
    <w:p>
      <w:pPr>
        <w:spacing w:after="40"/>
        <w:pBdr>
          <w:bottom w:val="single" w:sz="6" w:space="1" w:color="D1D5DB"/>
        </w:pBdr>
      </w:pPr>
    </w:p>
    <w:p>
      <w:pPr>
        <w:pStyle w:val="Heading1"/>
      </w:pPr>
      <w:r>
        <w:rPr>
          <w:color w:val="1E40AF"/>
          <w:sz w:val="34"/>
        </w:rPr>
        <w:t>1. Enfoque del proyecto</w:t>
      </w:r>
    </w:p>
    <w:p>
      <w:pPr>
        <w:spacing w:after="160"/>
      </w:pPr>
      <w:r>
        <w:rPr>
          <w:b w:val="0"/>
          <w:i w:val="0"/>
          <w:color w:val="111827"/>
          <w:sz w:val="22"/>
        </w:rPr>
        <w:t>FarmaConsulta nació como un proyecto ABP de la materia Ciencia de Datos I: un MVP en Python (Streamlit) construido sobre un dataset de 1000 consultas reales de una farmacia, con foco en el análisis de datos y la validación de una regla de negocio.</w:t>
      </w:r>
    </w:p>
    <w:p>
      <w:pPr>
        <w:spacing w:after="160"/>
      </w:pPr>
      <w:r>
        <w:rPr>
          <w:b w:val="0"/>
          <w:i w:val="0"/>
          <w:color w:val="111827"/>
          <w:sz w:val="22"/>
        </w:rPr>
        <w:t>En la instancia de Prácticas Profesionalizantes, ese MVP se llevó a una arquitectura de producción real: se separaron las responsabilidades en tres capas independientes (interfaz, lógica de negocio y datos), se reemplazaron los archivos CSV por una base de datos relacional, y se incorporó autenticación real para el personal. El objetivo dejó de ser "un script de análisis que también se puede mostrar" para pasar a ser un sistema pensado para desplegarse y mantenerse en un servidor real.</w:t>
      </w:r>
    </w:p>
    <w:p>
      <w:pPr>
        <w:pStyle w:val="Heading1"/>
      </w:pPr>
      <w:r>
        <w:rPr>
          <w:color w:val="1E40AF"/>
          <w:sz w:val="34"/>
        </w:rPr>
        <w:t>2. Qué hace el sistema</w:t>
      </w:r>
    </w:p>
    <w:p>
      <w:pPr>
        <w:spacing w:after="160"/>
      </w:pPr>
      <w:r>
        <w:rPr>
          <w:b w:val="0"/>
          <w:i w:val="0"/>
          <w:color w:val="111827"/>
          <w:sz w:val="22"/>
        </w:rPr>
        <w:t>FarmaConsulta resuelve dos tareas concretas del mostrador de una farmacia:</w:t>
      </w:r>
    </w:p>
    <w:p>
      <w:pPr>
        <w:pStyle w:val="ListBullet"/>
        <w:spacing w:after="80"/>
      </w:pPr>
      <w:r>
        <w:rPr>
          <w:b/>
        </w:rPr>
        <w:t xml:space="preserve">Cálculo del precio final: </w:t>
      </w:r>
      <w:r>
        <w:t>combina el descuento de la obra social del cliente con el descuento por promoción bancaria, aplicados en cascada (uno sobre el resultado del otro, no se suman), y compara los distintos medios de pago disponibles para mostrar cuál conviene más.</w:t>
      </w:r>
    </w:p>
    <w:p>
      <w:pPr>
        <w:pStyle w:val="ListBullet"/>
        <w:spacing w:after="80"/>
      </w:pPr>
      <w:r>
        <w:rPr>
          <w:b/>
        </w:rPr>
        <w:t xml:space="preserve">Alerta de stock crítico: </w:t>
      </w:r>
      <w:r>
        <w:t>cuando el producto consultado tiene poco stock, avisa y sugiere productos alternativos de la misma categoría que sí tengan stock suficiente.</w:t>
      </w:r>
    </w:p>
    <w:p>
      <w:pPr>
        <w:spacing w:after="160"/>
      </w:pPr>
      <w:r>
        <w:rPr>
          <w:b w:val="0"/>
          <w:i w:val="0"/>
          <w:color w:val="111827"/>
          <w:sz w:val="22"/>
        </w:rPr>
        <w:t>Además, el personal de farmacia (con sesión iniciada) tiene acceso a un panel de análisis exploratorio con estadísticas e indicadores del historial de consultas, y a un panel de administración con ABM completo (alta, baja y modificación) de productos, obras sociales, clientes y usuarios del personal, además del registro de nuevas consultas de mostrador.</w:t>
      </w:r>
    </w:p>
    <w:p>
      <w:pPr>
        <w:pStyle w:val="Heading1"/>
      </w:pPr>
      <w:r>
        <w:rPr>
          <w:color w:val="1E40AF"/>
          <w:sz w:val="34"/>
        </w:rPr>
        <w:t>3. Arquitectura y tecnologías</w:t>
      </w:r>
    </w:p>
    <w:p>
      <w:pPr>
        <w:spacing w:after="160"/>
      </w:pPr>
      <w:r>
        <w:rPr>
          <w:b w:val="0"/>
          <w:i w:val="0"/>
          <w:color w:val="111827"/>
          <w:sz w:val="22"/>
        </w:rPr>
        <w:t>El sistema se organiza en tres capas independientes, desplegadas en un servidor propio: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0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08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3249"/>
          </w:tcPr>
          <w:p>
            <w:r>
              <w:t>Frontend</w:t>
            </w:r>
          </w:p>
        </w:tc>
        <w:tc>
          <w:tcPr>
            <w:tcW w:type="dxa" w:w="3249"/>
          </w:tcPr>
          <w:p>
            <w:r>
              <w:t>React + TypeScript</w:t>
            </w:r>
          </w:p>
        </w:tc>
        <w:tc>
          <w:tcPr>
            <w:tcW w:type="dxa" w:w="3249"/>
          </w:tcPr>
          <w:p>
            <w:r>
              <w:t>Interfaz web para clientes y personal de farmacia.</w:t>
            </w:r>
          </w:p>
        </w:tc>
      </w:tr>
      <w:tr>
        <w:tc>
          <w:tcPr>
            <w:tcW w:type="dxa" w:w="3249"/>
          </w:tcPr>
          <w:p>
            <w:r>
              <w:t>Backend</w:t>
            </w:r>
          </w:p>
        </w:tc>
        <w:tc>
          <w:tcPr>
            <w:tcW w:type="dxa" w:w="3249"/>
          </w:tcPr>
          <w:p>
            <w:r>
              <w:t>Python + FastAPI</w:t>
            </w:r>
          </w:p>
        </w:tc>
        <w:tc>
          <w:tcPr>
            <w:tcW w:type="dxa" w:w="3249"/>
          </w:tcPr>
          <w:p>
            <w:r>
              <w:t>API REST. Concentra la lógica de negocio (cálculo de precio, stock, estadísticas).</w:t>
            </w:r>
          </w:p>
        </w:tc>
      </w:tr>
      <w:tr>
        <w:tc>
          <w:tcPr>
            <w:tcW w:type="dxa" w:w="3249"/>
          </w:tcPr>
          <w:p>
            <w:r>
              <w:t>Base de datos</w:t>
            </w:r>
          </w:p>
        </w:tc>
        <w:tc>
          <w:tcPr>
            <w:tcW w:type="dxa" w:w="3249"/>
          </w:tcPr>
          <w:p>
            <w:r>
              <w:t>PostgreSQL</w:t>
            </w:r>
          </w:p>
        </w:tc>
        <w:tc>
          <w:tcPr>
            <w:tcW w:type="dxa" w:w="3249"/>
          </w:tcPr>
          <w:p>
            <w:r>
              <w:t>Guarda las consultas, los planes de descuento y los usuarios del personal.</w:t>
            </w:r>
          </w:p>
        </w:tc>
      </w:tr>
      <w:tr>
        <w:tc>
          <w:tcPr>
            <w:tcW w:type="dxa" w:w="3249"/>
          </w:tcPr>
          <w:p>
            <w:r>
              <w:t>Despliegue</w:t>
            </w:r>
          </w:p>
        </w:tc>
        <w:tc>
          <w:tcPr>
            <w:tcW w:type="dxa" w:w="3249"/>
          </w:tcPr>
          <w:p>
            <w:r>
              <w:t>Docker + EasyPanel</w:t>
            </w:r>
          </w:p>
        </w:tc>
        <w:tc>
          <w:tcPr>
            <w:tcW w:type="dxa" w:w="3249"/>
          </w:tcPr>
          <w:p>
            <w:r>
              <w:t>Los tres componentes corren en contenedores sobre un servidor propio, con dominio y HTTPS.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4B5563"/>
          <w:sz w:val="21"/>
        </w:rPr>
        <w:t>El backend reutiliza la lógica de cálculo de precio y de estadística descriptiva que ya estaba escrita y validada en el MVP original, en vez de reescribirla desde cero. El frontend usa la librería de componentes Mantine para una interfaz más prolija y accesible.</w:t>
      </w:r>
    </w:p>
    <w:p>
      <w:pPr>
        <w:pStyle w:val="Heading1"/>
      </w:pPr>
      <w:r>
        <w:rPr>
          <w:color w:val="1E40AF"/>
          <w:sz w:val="34"/>
        </w:rPr>
        <w:t>4. Usuarios de la 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Qué puede hacer</w:t>
            </w:r>
          </w:p>
        </w:tc>
      </w:tr>
      <w:tr>
        <w:tc>
          <w:tcPr>
            <w:tcW w:type="dxa" w:w="3249"/>
          </w:tcPr>
          <w:p>
            <w:r>
              <w:t>Cliente / mostrador</w:t>
            </w:r>
          </w:p>
        </w:tc>
        <w:tc>
          <w:tcPr>
            <w:tcW w:type="dxa" w:w="3249"/>
          </w:tcPr>
          <w:p>
            <w:r>
              <w:t>Público, sin necesidad de cuenta</w:t>
            </w:r>
          </w:p>
        </w:tc>
        <w:tc>
          <w:tcPr>
            <w:tcW w:type="dxa" w:w="3249"/>
          </w:tcPr>
          <w:p>
            <w:r>
              <w:t>Consultar el precio final de un producto y comparar medios de pago.</w:t>
            </w:r>
          </w:p>
        </w:tc>
      </w:tr>
      <w:tr>
        <w:tc>
          <w:tcPr>
            <w:tcW w:type="dxa" w:w="3249"/>
          </w:tcPr>
          <w:p>
            <w:r>
              <w:t>Personal de farmacia</w:t>
            </w:r>
          </w:p>
        </w:tc>
        <w:tc>
          <w:tcPr>
            <w:tcW w:type="dxa" w:w="3249"/>
          </w:tcPr>
          <w:p>
            <w:r>
              <w:t>Inicia sesión con usuario y contraseña</w:t>
            </w:r>
          </w:p>
        </w:tc>
        <w:tc>
          <w:tcPr>
            <w:tcW w:type="dxa" w:w="3249"/>
          </w:tcPr>
          <w:p>
            <w:r>
              <w:t>Además de la consulta de precio: ver el panel de análisis exploratorio y administrar (alta, baja, modificación) productos, obras sociales, clientes y usuarios del personal, además de registrar nuevas consultas de mostrador.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color w:val="111827"/>
          <w:sz w:val="22"/>
        </w:rPr>
        <w:t>La autenticación del personal usa un token temporal (JWT) y contraseñas guardadas con hash (bcrypt), en reemplazo del usuario y contraseña fijos que tenía el MVP original.</w:t>
      </w:r>
    </w:p>
    <w:p>
      <w:pPr>
        <w:pStyle w:val="Heading1"/>
      </w:pPr>
      <w:r>
        <w:rPr>
          <w:color w:val="1E40AF"/>
          <w:sz w:val="34"/>
        </w:rPr>
        <w:t>5. Base de datos</w:t>
      </w:r>
    </w:p>
    <w:p>
      <w:pPr>
        <w:spacing w:after="160"/>
      </w:pPr>
      <w:r>
        <w:rPr>
          <w:b w:val="0"/>
          <w:i w:val="0"/>
          <w:color w:val="111827"/>
          <w:sz w:val="22"/>
        </w:rPr>
        <w:t>PostgreSQL, alojada en el mismo servidor propio. Reemplaza a los archivos CSV del MVP original; la carga inicial se migró desde el dataset de 1000 consultas ya validado. Además de las tablas originales, incorpora un catálogo real de productos y un registro de clientes, ambos con su propio ABM desde el panel de administración.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873"/>
          </w:tcPr>
          <w:p>
            <w:r>
              <w:t>consultas</w:t>
            </w:r>
          </w:p>
        </w:tc>
        <w:tc>
          <w:tcPr>
            <w:tcW w:type="dxa" w:w="4873"/>
          </w:tcPr>
          <w:p>
            <w:r>
              <w:t>Historial de consultas de mostrador: cliente, producto, obra social, precios y stock.</w:t>
            </w:r>
          </w:p>
        </w:tc>
      </w:tr>
      <w:tr>
        <w:tc>
          <w:tcPr>
            <w:tcW w:type="dxa" w:w="4873"/>
          </w:tcPr>
          <w:p>
            <w:r>
              <w:t>planes_descuento</w:t>
            </w:r>
          </w:p>
        </w:tc>
        <w:tc>
          <w:tcPr>
            <w:tcW w:type="dxa" w:w="4873"/>
          </w:tcPr>
          <w:p>
            <w:r>
              <w:t>Porcentaje de descuento por obra social o plan.</w:t>
            </w:r>
          </w:p>
        </w:tc>
      </w:tr>
      <w:tr>
        <w:tc>
          <w:tcPr>
            <w:tcW w:type="dxa" w:w="4873"/>
          </w:tcPr>
          <w:p>
            <w:r>
              <w:t>usuarios</w:t>
            </w:r>
          </w:p>
        </w:tc>
        <w:tc>
          <w:tcPr>
            <w:tcW w:type="dxa" w:w="4873"/>
          </w:tcPr>
          <w:p>
            <w:r>
              <w:t>Personal de farmacia habilitado para iniciar sesión (contraseña hasheada).</w:t>
            </w:r>
          </w:p>
        </w:tc>
      </w:tr>
      <w:tr>
        <w:tc>
          <w:tcPr>
            <w:tcW w:type="dxa" w:w="4873"/>
          </w:tcPr>
          <w:p>
            <w:r>
              <w:t>productos</w:t>
            </w:r>
          </w:p>
        </w:tc>
        <w:tc>
          <w:tcPr>
            <w:tcW w:type="dxa" w:w="4873"/>
          </w:tcPr>
          <w:p>
            <w:r>
              <w:t>Catálogo vigente de productos: nombre, categoría, precio de lista, stock disponible. Reemplaza la derivación anterior desde el historial de consultas.</w:t>
            </w:r>
          </w:p>
        </w:tc>
      </w:tr>
      <w:tr>
        <w:tc>
          <w:tcPr>
            <w:tcW w:type="dxa" w:w="4873"/>
          </w:tcPr>
          <w:p>
            <w:r>
              <w:t>clientes</w:t>
            </w:r>
          </w:p>
        </w:tc>
        <w:tc>
          <w:tcPr>
            <w:tcW w:type="dxa" w:w="4873"/>
          </w:tcPr>
          <w:p>
            <w:r>
              <w:t>Clientes registrados (nombre, teléfono), deduplicados y reutilizados automáticamente al cargar una consulta nueva.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