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falla simulada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Autotransformador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 de tensión de salida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falla simulada de calibración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 A a 40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N se determina a partir de la tensión por espira calculada según el apartado 2.4 (Apéndice) y se registra en RME-ELC-01,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autotransformador.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falla simulada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autotransformador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El ensayo se realiza con el núcleo magnetizado al 4 % del flujo nominal (Ridley [1]). El cálculo de cada máquina se registra en RME-ELC-01 «Registro de cálculo de excitación – Ensayo EL CID».</w:t>
      </w:r>
    </w:p>
    <w:p>
      <w:pPr>
        <w:spacing w:after="100" w:line="264"/>
        <w:jc w:val="both"/>
      </w:pPr>
      <w:r>
        <w:t xml:space="preserve">Considerando </w:t>
      </w:r>
      <w:r>
        <w:rPr>
          <w:i/>
          <w:iCs/>
        </w:rPr>
        <w:t xml:space="preserve">Φ</w:t>
      </w:r>
      <w:r>
        <w:t xml:space="preserve"> el flujo sinusoidal inducido en forma anular en el núcleo del estator: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9675" cy="238125"/>
            <wp:effectExtent t="0" r="0" b="0" l="0"/>
            <wp:docPr id="1" name="flujo" descr="Ecuación 1" title="fluj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m</w:t>
      </w:r>
      <w:r>
        <w:t xml:space="preserve"> es el valor máximo del flujo [Wb], </w:t>
      </w:r>
      <w:r>
        <w:rPr>
          <w:i/>
          <w:iCs/>
        </w:rPr>
        <w:t xml:space="preserve">f</w:t>
      </w:r>
      <w:r>
        <w:t xml:space="preserve"> la frecuencia [Hz] y </w:t>
      </w:r>
      <w:r>
        <w:rPr>
          <w:i/>
          <w:iCs/>
        </w:rPr>
        <w:t xml:space="preserve">t</w:t>
      </w:r>
      <w:r>
        <w:t xml:space="preserve"> el tiempo [s]. La tensión inducida por espira viene dada por la ley de Faraday: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066925" cy="371475"/>
            <wp:effectExtent t="0" r="0" b="0" l="0"/>
            <wp:docPr id="1" name="faraday" descr="Ecuación 2" title="fara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cuyo valor eficaz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847725" cy="419100"/>
            <wp:effectExtent t="0" r="0" b="0" l="0"/>
            <wp:docPr id="1" name="eficaz" descr="Ecuación 3" title="efica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El flujo por polo a través del entrehierro,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, queda dividido en dos en el yugo, por lo tanto: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609850" cy="419100"/>
            <wp:effectExtent t="0" r="0" b="0" l="0"/>
            <wp:docPr id="1" name="mitad" descr="Ecuación 4" title="mit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Para un 4 % del flujo nominal en el entrehierro, la tensión eficaz por espira es la siguiente; para 50 Hz resulta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4,44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 y para 60 Hz,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5,33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190625" cy="238125"/>
            <wp:effectExtent t="0" r="0" b="0" l="0"/>
            <wp:docPr id="1" name="v4" descr="Ecuación 5" title="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El flujo en el entrehierro de la máquina, en webers,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0150" cy="476250"/>
            <wp:effectExtent t="0" r="0" b="0" l="0"/>
            <wp:docPr id="1" name="fem" descr="Ecuación 6" title="f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(6)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es la tensión de línea, </w:t>
      </w:r>
      <w:r>
        <w:rPr>
          <w:i/>
          <w:iCs/>
        </w:rPr>
        <w:t xml:space="preserve">K</w:t>
      </w:r>
      <w:r>
        <w:t xml:space="preserve"> la combinación de los factores de paso y de distribución y </w:t>
      </w:r>
      <w:r>
        <w:rPr>
          <w:i/>
          <w:iCs/>
        </w:rPr>
        <w:t xml:space="preserve">T</w:t>
      </w:r>
      <w:r>
        <w:rPr>
          <w:vertAlign w:val="subscript"/>
        </w:rPr>
        <w:t xml:space="preserve">ph</w:t>
      </w:r>
      <w:r>
        <w:t xml:space="preserve"> el número de espiras por fase. Para el 4 % del flujo nominal, la tensión por espira queda: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924175" cy="523875"/>
            <wp:effectExtent t="0" r="0" b="0" l="0"/>
            <wp:docPr id="1" name="vt" descr="Ecuación 7" title="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(7)</w:t>
      </w:r>
    </w:p>
    <w:p>
      <w:pPr>
        <w:spacing w:after="100" w:line="264"/>
        <w:jc w:val="both"/>
      </w:pPr>
      <w:r>
        <w:t xml:space="preserve">Si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se expresa en kV y se adopta </w:t>
      </w:r>
      <w:r>
        <w:rPr>
          <w:i/>
          <w:iCs/>
        </w:rPr>
        <w:t xml:space="preserve">K</w:t>
      </w:r>
      <w:r>
        <w:t xml:space="preserve"> = 0,926: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924050" cy="428625"/>
            <wp:effectExtent t="0" r="0" b="0" l="0"/>
            <wp:docPr id="1" name="practica" descr="Ecuación 8" title="prac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(8)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cálculo de excitación – Ensayo EL CID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29/10/2026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Matias Gaviño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[1] Ridley G. K., «EL CID – Application and Analysis», 2000.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29/10/2026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image" Target="media/4b0f45f96e9132a18dd9615d2ec25e30f730ede2.png"/><Relationship Id="rId16" Type="http://schemas.openxmlformats.org/officeDocument/2006/relationships/image" Target="media/a71af61c09a7a336fe73079da7c91c52986e6eb3.png"/><Relationship Id="rId17" Type="http://schemas.openxmlformats.org/officeDocument/2006/relationships/image" Target="media/4de56abb5f49c0747f219218a6c65dd40116f367.png"/><Relationship Id="rId18" Type="http://schemas.openxmlformats.org/officeDocument/2006/relationships/image" Target="media/504bb8747f57582bd6902ea9cfc3bc79c59ece6c.png"/><Relationship Id="rId19" Type="http://schemas.openxmlformats.org/officeDocument/2006/relationships/image" Target="media/8af964d7e7b198d5388ae37fb2504a06548d9fa7.png"/><Relationship Id="rId20" Type="http://schemas.openxmlformats.org/officeDocument/2006/relationships/image" Target="media/1da21c7a51b1b17a1797033f35b1d094c3a2ea10.png"/><Relationship Id="rId21" Type="http://schemas.openxmlformats.org/officeDocument/2006/relationships/image" Target="media/41f22330b2c6159659f8ed621863e9870f663d57.png"/><Relationship Id="rId22" Type="http://schemas.openxmlformats.org/officeDocument/2006/relationships/image" Target="media/e6476ca1d145c79df5b8c622093c49e2733bd40a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2026-10-29T13:50:03.935Z</dcterms:created>
  <dcterms:modified xsi:type="dcterms:W3CDTF">2026-10-29T13:50:03.935Z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