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4</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6</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7</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12</w:t>
      </w:r>
    </w:p>
    <w:p>
      <w:pPr>
        <w:tabs>
          <w:tab w:val="right" w:leader="dot" w:pos="9638"/>
        </w:tabs>
        <w:spacing w:after="30"/>
        <w:ind w:left="425"/>
      </w:pPr>
      <w:r>
        <w:rPr>
          <w:sz w:val="19"/>
        </w:rPr>
        <w:t xml:space="preserve">2.10 INSPECCIÓN POR RANURA</w:t>
      </w:r>
      <w:r>
        <w:rPr>
          <w:sz w:val="19"/>
        </w:rPr>
        <w:tab/>
        <w:t>12</w:t>
      </w:r>
    </w:p>
    <w:p>
      <w:pPr>
        <w:tabs>
          <w:tab w:val="right" w:leader="dot" w:pos="9638"/>
        </w:tabs>
        <w:spacing w:after="30"/>
        <w:ind w:left="425"/>
      </w:pPr>
      <w:r>
        <w:rPr>
          <w:sz w:val="19"/>
        </w:rPr>
        <w:t xml:space="preserve">2.11 CIERRE: DATOS, DESMONTAJE E INFORME</w:t>
      </w:r>
      <w:r>
        <w:rPr>
          <w:sz w:val="19"/>
        </w:rPr>
        <w:tab/>
        <w:t>14</w:t>
      </w:r>
    </w:p>
    <w:p>
      <w:pPr>
        <w:tabs>
          <w:tab w:val="right" w:leader="dot" w:pos="9638"/>
        </w:tabs>
        <w:spacing w:after="60"/>
        <w:ind w:left="0"/>
      </w:pPr>
      <w:r>
        <w:rPr>
          <w:b/>
          <w:sz w:val="20"/>
        </w:rPr>
        <w:t xml:space="preserve">3. REGISTROS</w:t>
      </w:r>
      <w:r>
        <w:rPr>
          <w:sz w:val="19"/>
        </w:rPr>
        <w:tab/>
        <w:t>14</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captor Chattock.</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 Chattock</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controlada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Fuente de CA de tensión variable que alimenta el circuito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Gota de resina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Protuberancia de resina sobre la superficie del estator (resin drip) que puede dificultar el paso o la adherencia del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superior (Top Dead Centre, TDC).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bl>
    <w:p>
      <w:pPr>
        <w:pStyle w:val="Heading1"/>
        <w:keepNext/>
        <w:spacing w:after="140" w:before="280"/>
      </w:pPr>
      <w:r>
        <w:t xml:space="preserve">2. CONTENIDO</w:t>
      </w: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punta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31); cuerdas de seguridad con tensión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33);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(punta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29 y 48).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rieles limados y sin rebabas.</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Figura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31 – 36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37 – 45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46 – 50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las cámaras inferiores y laterales, el captor Chattock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 Chattock</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Detector WTT y bloque de calibración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del ajuste de cuñas.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Variac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Variac.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Preparar un área de trabajo despejada o un banco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superior (PMS).</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sentido horario visto desde el lado DE.</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Variac desconectado de la red, conectar su ficha al tablero de excitación. Recién entonces conectar el Variac a la red. Para desconectar, seguir el orden inverso: primero desconectar el Variac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45</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la ficha que viene del Variac queda con los contactos macho expuestos: nunca manipularla con el Variac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la Figura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Chattock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 la Figura 1: cable del robot al control box (conector principal) y al tablero EL CID (señal del captor); control box al tablero EL CID (señal de posición); PC GRIS al control box (USB y Ethernet); PC EL CID al tablero EL CID (USB); tablero de excitación (Variac,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 Verificar el nudo según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2 / 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sectPr>
          <w:headerReference w:type="default" r:id="rId7"/>
          <w:footerReference w:type="default" r:id="rId8"/>
          <w:pgSz w:w="11906" w:h="16838" w:orient="portrait"/>
          <w:pgMar w:top="2100" w:right="1134" w:bottom="1700" w:left="1134" w:header="500" w:footer="400" w:gutter="0"/>
          <w:pgNumType/>
          <w:docGrid w:linePitch="360"/>
        </w:sectPr>
      </w:pPr>
    </w:p>
    <w:p>
      <w:pPr>
        <w:keepNext/>
        <w:spacing w:after="60" w:before="0"/>
        <w:jc w:val="center"/>
      </w:pPr>
      <w:r>
        <w:drawing>
          <wp:inline distT="0" distB="0" distL="0" distR="0">
            <wp:extent cx="13468350" cy="7772400"/>
            <wp:effectExtent t="0" r="0" b="0" l="0"/>
            <wp:docPr id="1" name="esquema_general.png" descr="Figura 1: Esquema general de conexiones del sistema GRIS" title="Figura 1: Esquema general de conexiones del sistema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468350" cy="7772400"/>
                    </a:xfrm>
                    <a:prstGeom prst="rect">
                      <a:avLst/>
                    </a:prstGeom>
                  </pic:spPr>
                </pic:pic>
              </a:graphicData>
            </a:graphic>
          </wp:inline>
        </w:drawing>
      </w:r>
    </w:p>
    <w:p>
      <w:pPr>
        <w:jc w:val="center"/>
      </w:pPr>
      <w:r>
        <w:rPr>
          <w:i/>
          <w:iCs/>
          <w:color w:val="6D8289"/>
          <w:sz w:val="18"/>
          <w:szCs w:val="18"/>
        </w:rPr>
        <w:t xml:space="preserve">Figura 1: Esquema general de conexiones del sistema GRIS</w:t>
      </w:r>
    </w:p>
    <w:p>
      <w:pPr>
        <w:sectPr>
          <w:headerReference w:type="default" r:id="rId9"/>
          <w:footerReference w:type="default" r:id="rId10"/>
          <w:type w:val="nextPage"/>
          <w:pgSz w:w="23811" w:h="16838" w:orient="landscape"/>
          <w:pgMar w:top="2100" w:right="1134" w:bottom="1700" w:left="1134" w:header="500" w:footer="400" w:gutter="0"/>
          <w:pgNumType/>
          <w:docGrid w:linePitch="360"/>
        </w:sectPr>
      </w:pPr>
    </w:p>
    <w:p>
      <w:pPr>
        <w:pStyle w:val="Heading3"/>
        <w:keepNext/>
        <w:spacing w:after="80" w:before="160"/>
      </w:pPr>
      <w:r>
        <w:t xml:space="preserve">2.8.1 Amarre de las cuerdas de seguridad</w:t>
      </w:r>
    </w:p>
    <w:p>
      <w:pPr>
        <w:keepNext/>
        <w:spacing w:after="100" w:line="264"/>
        <w:jc w:val="both"/>
      </w:pPr>
      <w:r>
        <w:t xml:space="preserve">Las cuerdas de seguridad (3 mm) se atan al ojal del robot con un nudo ocho reconstruido (paso 27), que no se corre ni se desata con los tirones ni con las vibraciones del ensayo. Se ata según la Figura 2 y se verifica con la Tabla 3.</w:t>
      </w:r>
    </w:p>
    <w:p>
      <w:pPr>
        <w:keepNext/>
        <w:spacing w:after="60" w:before="120"/>
        <w:jc w:val="center"/>
      </w:pPr>
      <w:r>
        <w:drawing>
          <wp:inline distT="0" distB="0" distL="0" distR="0">
            <wp:extent cx="6124575" cy="5743575"/>
            <wp:effectExtent t="0" r="0" b="0" l="0"/>
            <wp:docPr id="1" name="nudo_ocho.png" descr="Figura 2: Nudo ocho reconstruido paso a paso en el ojal del robot" title="Figura 2: Nudo ocho reconstruido paso a paso en el ojal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5743575"/>
                    </a:xfrm>
                    <a:prstGeom prst="rect">
                      <a:avLst/>
                    </a:prstGeom>
                  </pic:spPr>
                </pic:pic>
              </a:graphicData>
            </a:graphic>
          </wp:inline>
        </w:drawing>
      </w:r>
    </w:p>
    <w:p>
      <w:pPr>
        <w:spacing w:after="200"/>
        <w:jc w:val="center"/>
      </w:pPr>
      <w:r>
        <w:rPr>
          <w:i/>
          <w:iCs/>
          <w:color w:val="6D8289"/>
          <w:sz w:val="18"/>
          <w:szCs w:val="18"/>
        </w:rPr>
        <w:t xml:space="preserve">Figura 2: Nudo ocho reconstruido paso a paso en el ojal del robot</w:t>
      </w:r>
    </w:p>
    <w:p>
      <w:pPr>
        <w:keepNext/>
        <w:spacing w:after="100" w:line="264"/>
        <w:jc w:val="both"/>
      </w:pPr>
      <w:r>
        <w:rPr>
          <w:b/>
          <w:bCs/>
        </w:rPr>
        <w:t xml:space="preserve">Tabla 3: Verificación del nudo ocho reconstruido.</w:t>
      </w:r>
      <w:r>
        <w:t xml:space="preserve"> La realiza el operador que lo ató y la repite un segundo operador antes de introducir el robot en el entrehierro: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Control</w:t>
            </w:r>
          </w:p>
        </w:tc>
        <w:tc>
          <w:tcPr>
            <w:tcW w:type="dxa" w:w="7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Criterio de aceptación</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Figura</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Se ve un ocho completo, formado en todo su recorrido por pares de cuerdas paralelas.</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Ramales</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Los dos ramales de cada par van juntos, sin cruzarse ni montarse uno sobre el otro.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Recorrido</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El lazo pasa por el ojal de amarre del robot y la punta sale del nudo junto a la cuerda.</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Apriete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El nudo no se deforma ni se corre al tirar con fuerza de la cuerda y del lazo.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Punta libre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Entre 3 cm y 5 cm (unas 10 a 15 veces el diámetro de la cuerda). Más corto puede salirse del nudo; más largo puede engancharse o quedar debajo del robot.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Importante: </w:t>
            </w:r>
            <w:r>
              <w:t xml:space="preserve">si algún control no se cumple, desatar el nudo y volver a hacerlo desde el paso 1 de la Figura 2. Revisar el nudo al inicio de cada jornada y cada vez que la cuerda haya quedado enganchada o haya soportado un tirón.</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puntas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falla controlada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37 a 44 se repiten para cada ranura a inspeccionar. El paso 45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tensión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33.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37.</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Variac,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28/10/2026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11"/>
      <w:footerReference w:type="default" r:id="rId12"/>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8543"/>
      <w:gridCol w:w="3000"/>
    </w:tblGrid>
    <w:tr>
      <w:tc>
        <w:tcPr>
          <w:tcW w:type="dxa" w:w="1854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750"/>
      <w:gridCol w:w="15805"/>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15805"/>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5e42c11d1ae7dd09b2c1165b2d085b40a154f3c7.png"/><Relationship Id="rId14" Type="http://schemas.openxmlformats.org/officeDocument/2006/relationships/image" Target="media/6474d53e494f2865529584c21613177e9d8b531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2.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3.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2026-10-28T23:54:17.254Z</dcterms:created>
  <dcterms:modified xsi:type="dcterms:W3CDTF">2026-10-28T23:54:17.255Z</dcterms:modified>
</cp:coreProperties>
</file>

<file path=docProps/custom.xml><?xml version="1.0" encoding="utf-8"?>
<Properties xmlns="http://schemas.openxmlformats.org/officeDocument/2006/custom-properties" xmlns:vt="http://schemas.openxmlformats.org/officeDocument/2006/docPropsVTypes"/>
</file>