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exclusivamente a la inspección robotizada en el entrehierro de generadores de rotor cilíndrico </w:t>
      </w:r>
      <w:r>
        <w:rPr>
          <w:b/>
          <w:bCs/>
        </w:rPr>
        <w:t xml:space="preserve">con el rotor montado</w:t>
      </w:r>
      <w:r>
        <w:t xml:space="preserve">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spacing w:after="100" w:line="264"/>
        <w:jc w:val="both"/>
      </w:pPr>
      <w:r>
        <w:t xml:space="preserve">Este documento es el procedimiento general de la inspección. Los aspectos técnicos de cada tarea se desarrollan en los documentos asociados indicados en el apartado 2.2.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RIESGOS PRINCIPALES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DOCUMENTOS ASOCIADOS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SECUENCIA GENERAL Y EQUIPAMIENTO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SEGURIDAD Y PERMISOS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2.5 PREPARACIÓN TÉCNICA PREVIA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2.6 PREPARACIÓN DEL ÁREA Y CONVENCIONES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2.7 MONTAJE DE LA EXCITACIÓN DEL NÚCLEO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2.8 CONFIGURACIÓN Y MONTAJE DEL SISTEMA GRIS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2.9 RECONOCIMIENTO Y CALIBRACIÓN</w:t>
      </w:r>
      <w:r>
        <w:rPr>
          <w:sz w:val="19"/>
        </w:rPr>
        <w:tab/>
        <w:t>11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2.10 INSPECCIÓN POR RANURA</w:t>
      </w:r>
      <w:r>
        <w:rPr>
          <w:sz w:val="19"/>
        </w:rPr>
        <w:tab/>
        <w:t>12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2.11 CIERRE: DATOS, DESMONTAJE E INFORME</w:t>
      </w:r>
      <w:r>
        <w:rPr>
          <w:sz w:val="19"/>
        </w:rPr>
        <w:tab/>
        <w:t>13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14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rampa, control box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(TPD, 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que alimenta y comanda 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del ensayo EL CID (DAQ), con entradas de captor, posición axial y corriente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circuito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donde se conectan en serie los hilos del cable de excitación y el circuito de la espira auxiliar.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Gota de resina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Protuberancia de resina sobre la superficie del estator (resin drip) que puede dificultar el paso o la adherencia del robot.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/ NDE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Drive End / Non-Drive End: lado acople / lado opuesto al acople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pStyle w:val="Heading2"/>
        <w:keepNext/>
        <w:spacing w:after="100" w:before="220"/>
      </w:pPr>
      <w:r>
        <w:t xml:space="preserve">2.1 RIESGOS PRINCIPALES</w:t>
      </w:r>
    </w:p>
    <w:p>
      <w:pPr>
        <w:spacing w:after="100" w:line="264"/>
        <w:jc w:val="both"/>
      </w:pPr>
      <w:r>
        <w:t xml:space="preserve">Antes de iniciar el trabajo, todo el personal debe conocer los siguientes riesgos, que pueden ocasionar accidentes o incidentes, y las medidas de este procedimiento que los controlan. Los riesgos propios de la inspección robotizada se toman de la Tabla 4-4 del informe EPRI 3002013612 (2018), «Generator Robotic Inspection and Test Guidelines», en lo que aplica al sistema GRIS: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900"/>
        <w:gridCol w:w="3238"/>
      </w:tblGrid>
      <w:tr>
        <w:trPr>
          <w:cantSplit/>
          <w:tblHeader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Consecuencia posible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adherencia del robot al pasar sobre una gota de resina de gran altura, en especial en la parte superior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 dentro del entrehierro;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Pasada de reconocimiento (paso 31); cuerdas de seguridad con tensión constante.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Salida del robot por el extremo opuesto del núcleo o caída por uno de los extremos del estator.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Caída del robot; daño al robot o a la máquina.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 de avance axial seguro (paso 33); cuerdas de seguridad.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atascado en el entrehierro (gota de resina, pérdida de energía o falla del robot).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Demora de la parada; en el peor caso, abrir el otro extremo del generador.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Recuperación con las cuerdas de seguridad (paso 27) y el cable del robot.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Desprendimiento de piezas del robot dentro del generador.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Pieza suelta dentro de la máquina; daño a sus componentes si se pone en servicio.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residual evaluado en 00503-00-ZIT003 (todas las posiciones: bajo o muy bajo). Verificación pre y post-ensayo con 00503-00-ZRQ001 (pasos 29 y 48).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Falla del robot durante el ensayo.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Demora de la inspección.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 completo (Tabla 1).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Fatiga del operador.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Error de operación: caída del robot, salida por el extremo o datos erróneos.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menos dos operadores calificados y pausas regulares (paso 8).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Resultados de ensayo erróneos por error del operador, del equipo o de la calibración.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Extracción innecesaria del rotor o falla no detectada.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Calibración según 00503-00-EPG002 – Protocolo 2; revisión de datos y repetición de zonas dudosas (paso 47); análisis por un ingeniero con experiencia.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Hallazgo de una falla grave (por ejemplo, cuñas flojas o punto caliente en el núcleo).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Necesidad de extraer el rotor y extensión de la parada.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Comunicación inmediata al Cliente (paso 43); realizar la inspección lo antes posible dentro de la parada.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 en desarrollo; ficha del Variac con contactos macho expuestos.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 operar ni manipular el tablero con tensión; conectar el Variac a la red solo con la ficha ya conectada (paso 17).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Riesgo eléctrico: equipos alimentados en 220 V CA y arrollamiento de excitación energizado.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Choque eléctrico.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diferencial; desenergizar en pausas e intervenciones; puesta a tierra única.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Manipulación de la rampa con esfuerzos elevados en posiciones incómodas.</w:t>
            </w:r>
          </w:p>
        </w:tc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Golpes, caídas y cortes.</w:t>
            </w:r>
          </w:p>
        </w:tc>
        <w:tc>
          <w:tcPr>
            <w:tcW w:type="dxa" w:w="3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EPP; rieles limados y sin rebabas.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DOCUMENTOS ASOCIADOS</w:t>
      </w:r>
    </w:p>
    <w:p>
      <w:pPr>
        <w:spacing w:after="100" w:line="264"/>
        <w:jc w:val="both"/>
      </w:pPr>
      <w:r>
        <w:t xml:space="preserve">Este procedimiento establece la secuencia general de la inspección y remite a los siguientes documentos para el detalle técnico: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1: excitación del núcleo. Protocolo 2: calibración. Protocolo 3: operación de ELCSoft.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Operación del software de control del robot.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00503-00-ZIT003 – Residual Part Detachment Risk Assessment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Evaluación del riesgo residual de desprendimiento de 22 posiciones del robot GRIS.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– Inspection Detachment Checklist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pre y post-ensayo de las 22 posiciones evaluadas.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SECUENCIA GENERAL Y EQUIPAMIENTO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2.4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2.5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10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 Preparación del área y convenciones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11 – 15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16 – 20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2.8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21 – 30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 / Figura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2.9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31 – 36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 Inspección por ranura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37 – 45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2.11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46 – 50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1: Equipamiento.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 / observaciones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Sistema GRIS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Rampa: rieles, kit de resortes y extensores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guías centrales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Guiado del robot en la ranura según su geometría.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box y cable principal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Cuerdas de seguridad (3 mm)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Retención del robot ante pérdida de adherencia o caída.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Kit de repuestos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Reemplazo de componentes en sitio.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y WTT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EL CID y captor Chattock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del circuito de excitación (salida 0–250 V).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Tablero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Bornera EXCITATION para conectar en serie los hilos del cable de excitación y salida de la corriente de magnetización al tablero EL CID; bornera AUXILIAR con resistencias de calibración, llave del circuito y fichas banana para medir la tensión por espira (00503-00-EPG002 – Protocolo 2).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excitación de 5 hilos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Espiras de excitación del núcleo, conectadas en serie en el tablero de excitación.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y calibración.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 de puesta a tierra (verde/amarillo)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 única desde el estator (00503-00-EPG002 – Protocolo 1).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Instrumentos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Multímetro y pinza amperométrica (UNI-T)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tensión por espira (fichas banana del tablero de excitación) y de la corriente en la espira auxiliar.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Inclinómetro digital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 la rampa.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Calibre y cinta métrica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los parámetros geométricos de la máquina.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Informática y conexiones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robot (software GRIS), conectada al control box por USB y Ethernet.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EL CID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Adquisición del ensayo EL CID (ELCSoft), conectada al tablero EL CID por USB.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Cables USB, Ethernet, BNC y de alimentación; zapatillas y adaptadores de enchufe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Interconexión y alimentación de los equipos según el esquema de conexiones.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Consumibles y herramientas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Cintas: duct tape, de papel y de poliimida; marcadores de pintura; precintos; pasacables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Protección de la rampa, identificación de ranuras y tendido de cables.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Herramientas de mano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Juego de llaves Allen y fijas, destornilladores, pinzas, alicates, cutter, sierra, limas, soldador y tubos termocontraíbles.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Linterna y linterna frontal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Iluminación del entrehierro y de los extremos del estator.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considerando los riesgos del apartado 2.1 y revisarlo con todo el personal involucrado. Utilizar como mínimo el EPP especificado y el adicional que requieran las condiciones del sitio.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2.5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y datos para el cálculo de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00503-00-EPG002, apartado 2.4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tensión y corriente del Variac y sección del conductor) y registrarla en RME-ELC-01, o solicitarla a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00503-00-EPG002, apartado 2.4 / RME-ELC-01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Asignar al menos dos operadores calificados para el ensayo y planificar pausas regulares.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el kit de repuestos GRIS esté completo.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la PC GRIS, la PC EL CID, el control box, el tablero EL CID y el Variac. Verificar la protección diferencial.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2.6 PREPARACIÓN DEL ÁREA Y CONVENCIONES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las convenciones de referencia indicadas en la Tabla 2 y registrarlas antes de iniciar el ensayo.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no existan lazos conductores cerrados alrededor del núcleo que puedan afectar la excitación del EL CID.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Tabla 2: Convenciones de referencia.</w:t>
      </w:r>
      <w:r>
        <w:t xml:space="preserve"> Se acuerdan con el Cliente; cuando no exista una convención previa se aplica el criterio indicado.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Convención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Criterio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1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la ranura ubicada en el punto muerto superior (PMS).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numeración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Según la convención previa del Cliente. Si no existe, sentido horario visto desde el lado DE.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de avance angular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Sentido creciente de la numeración de ranuras (ELCSoft incrementa el número de ranura de a una unidad).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de ingreso del robot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 o NDE, según la accesibilidad de la máquina.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Cero axial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Borde del núcleo del lado de ingreso del robot. Las posiciones axiales crecen hacia el extremo opuesto.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2.7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cable de excitación de 5 hilos a través del entrehierro y conectar sus extremos a la bornera EXCITATION del tablero de excitación, haciendo coincidir números y colores, de modo que las espiras queden en serie.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 / Figuras 2 y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 el Variac desconectado de la red, conectar su ficha al tablero de excitación. Recién entonces conectar el Variac a la red. Para desconectar, seguir el orden inverso: primero desconectar el Variac de la red y luego la ficha.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 / Figura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45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el tablero de excitación se encuentra en desarrollo. No operarlo ni manipularlo con tensión. La ficha que viene del Variac queda con los contactos macho expuestos: nunca manipularla con el Variac conectado a la red (paso 17).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2.8 CONFIGURACIÓN Y MONTAJE DEL SISTEMA GRIS</w:t>
      </w:r>
    </w:p>
    <w:p>
      <w:pPr>
        <w:spacing w:after="100" w:line="264"/>
        <w:jc w:val="both"/>
      </w:pPr>
      <w:r>
        <w:t xml:space="preserve">Las conexiones se realizan según el esquema general de la Figura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 la rampa.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 la rampa a la longitud requerida. Limar los bordes y eliminar rebabas.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 rampa con los valores obtenidos para posicionar tangencialmente el robot sobre la ranura a inspeccionar.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 la rampa con el cuerpo del rotor y, cuando corresponda, el trinquete.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las conexiones de la Figura 1: arnés del robot al control box (cable principal) y al tablero EL CID (señal del captor); control box al tablero EL CID (señal de posición); PC GRIS al control box (USB y Ethernet); PC EL CID al tablero EL CID (USB); tablero de excitación (Variac, cable de 5 hilos, espira auxiliar y salida al tablero EL CID) y alimentaciones desde la zapatilla, respetando el esquema de puesta a tierra.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Figura 1 / 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 de seguridad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en ELCSoft los parámetros del ensayo y el paso de registro EL CID (recomendado: 7 mm). Configurar el paso de adquisición automática de fotografías y el paso de muestreo WTT.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 / Manual de 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verificación pre-ensayo de desprendimiento de piezas del robot y registrarla en el checklist antes de introducir 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(Pre-Test)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la rampa y verificar que el conjunto ingresa, se posiciona y se desplaza sin interferencias.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2100" w:right="1134" w:bottom="1700" w:left="1134" w:header="500" w:footer="400" w:gutter="0"/>
          <w:pgNumType/>
          <w:docGrid w:linePitch="360"/>
        </w:sectPr>
      </w:pPr>
    </w:p>
    <w:p>
      <w:pPr>
        <w:keepNext/>
        <w:spacing w:after="60" w:before="0"/>
        <w:jc w:val="center"/>
      </w:pPr>
      <w:r>
        <w:drawing>
          <wp:inline distT="0" distB="0" distL="0" distR="0">
            <wp:extent cx="13468350" cy="7772400"/>
            <wp:effectExtent t="0" r="0" b="0" l="0"/>
            <wp:docPr id="1" name="esquema_general.png" descr="Figura 1: Esquema general de conexiones del sistema GRIS" title="Figura 1: Esquema general de conexiones del sistema GR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6835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6D8289"/>
          <w:sz w:val="18"/>
          <w:szCs w:val="18"/>
        </w:rPr>
        <w:t xml:space="preserve">Figura 1: Esquema general de conexiones del sistema GRIS</w:t>
      </w:r>
    </w:p>
    <w:p>
      <w:pPr>
        <w:sectPr>
          <w:headerReference w:type="default" r:id="rId9"/>
          <w:footerReference w:type="default" r:id="rId10"/>
          <w:type w:val="nextPage"/>
          <w:pgSz w:w="23811" w:h="16838" w:orient="landscape"/>
          <w:pgMar w:top="2100" w:right="1134" w:bottom="1700" w:left="1134" w:header="500" w:footer="400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95600"/>
            <wp:effectExtent t="0" r="0" b="0" l="0"/>
            <wp:docPr id="1" name="detalle_tablero_excitacion.png" descr="Figura 2: Detalle del tablero de excitación (conexiones internas)" title="Figura 2: Detalle del tablero de excitación (conexiones interna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Detalle del tablero de excitación (conexiones internas)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676650"/>
            <wp:effectExtent t="0" r="0" b="0" l="0"/>
            <wp:docPr id="1" name="detalle_borneras.png" descr="Figura 3: Ampliación de las borneras EXCITATION y AUX (numeración de bornes)" title="Figura 3: Ampliación de las borneras EXCITATION y AUX (numeración de borne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Ampliación de las borneras EXCITATION y AUX (numeración de bornes)</w:t>
      </w:r>
    </w:p>
    <w:p>
      <w:pPr>
        <w:pStyle w:val="Heading2"/>
        <w:keepNext/>
        <w:spacing w:after="100" w:before="220"/>
      </w:pPr>
      <w:r>
        <w:t xml:space="preserve">2.9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 de resina, rebabas, obstáculos o cualquier condición que impida el paso o la adherencia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 2.1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2.10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37 a 44 se repiten para cada ranura a inspeccionar. El paso 45 se ejecuta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Tabla 2 / 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manteniendo una tensión constante, para evitar atrapamientos y que el robot los pise.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(recomendada: 50 mm/s) registrando el EL CID, sin superar el límite de avance seguro definido en el paso 33. Activar las cámaras laterales y monitorearlas junto con las demás para detectar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en forma inmediata toda indicación de falla (EL CID, WTT o visual) al ingeniero de generadores a cargo y al Cliente, para que pueda planificar, si corresponde, la extracción del rotor.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3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la rampa a la ranura siguiente, verificar la alineación y repetir desde el paso 37.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2.11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878"/>
        <w:gridCol w:w="22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las PC y en un segundo dispositivo de almacenamiento.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 retirar el robot del entrehierro, realizar la verificación post-ensayo y confirmar en el checklist que las cantidades verificadas coinciden con las esperadas. Ante cualquier faltante, informar al Cliente y no devolver la máquina hasta recuperar la pieza.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00503-00-ZRQ001 (Post-Test)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la rampa, el tablero EL CID, el control box, el tablero de excitación, el Variac, el arrollamiento de excitación, la espira auxiliar, las barreras y la cartelería. Limpiar el área y cerrar los permisos.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50</w:t>
            </w:r>
          </w:p>
        </w:tc>
        <w:tc>
          <w:tcPr>
            <w:tcW w:type="dxa" w:w="687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convenciones de referencia, trazabilidad de ranuras, datos EL CID, datos WTT, indicaciones visuales y zonas repetidas.</w:t>
            </w:r>
          </w:p>
        </w:tc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11"/>
      <w:footerReference w:type="default" r:id="rId12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21543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8543"/>
      <w:gridCol w:w="3000"/>
    </w:tblGrid>
    <w:tr>
      <w:tc>
        <w:tcPr>
          <w:tcW w:type="dxa" w:w="1854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21543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15805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1580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9aeb3044a3be27c25288a4836a4a84c901d2a9c6.png"/><Relationship Id="rId14" Type="http://schemas.openxmlformats.org/officeDocument/2006/relationships/image" Target="media/06afec88290561af00ee980ddcbf8d0aeb533b76.png"/><Relationship Id="rId15" Type="http://schemas.openxmlformats.org/officeDocument/2006/relationships/image" Target="media/b2c3ca5da85ced1931431956c4e0c2828e8c117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er3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2026-10-28T18:40:52.244Z</dcterms:created>
  <dcterms:modified xsi:type="dcterms:W3CDTF">2026-10-28T18:40:52.244Z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