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14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controlan. Los riesgos propios de la inspección robotizada se toman de la Tabla 4-4 del informe EPRI 3002013612 (2018), «Generator Robotic Inspection and Test Guidelines», en lo que aplica al sistema GRIS: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31);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33);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atascado en el entrehierro (gota de resina, pérdida de energía o falla del robot).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parada; en el peor caso, abrir el otro extremo del generador.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Recuperación con las cuerdas de seguridad (paso 27) y el cable del robot.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29 y 48).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Falla del robot durante el ensayo.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inspección.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 completo (Tabla 1).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Fatiga del operador.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Error de operación: caída del robot, salida por el extremo o datos erróneos.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menos dos operadores calificados y pausas regulares (paso 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Resultados de ensayo erróneos por error del operador, del equipo o de la calibración.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Extracción innecesaria del rotor o falla no detectada.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Calibración según 00503-00-EPG002 – Protocolo 2; revisión de datos y repetición de zonas dudosas (paso 47); análisis por un ingeniero con experiencia.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Hallazgo de una falla grave (por ejemplo, cuñas flojas o punto caliente en el núcleo).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Necesidad de extraer el rotor y extensión de la parada.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Comunicación inmediata al Cliente (paso 43); realizar la inspección lo antes posible dentro de la parada.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17).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 – Manual de uso del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GRIS: configuración del robot y de la rampa, movimiento, cámaras, ensayo de ajuste de cuñas (WTT) y almacenamiento de los datos.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10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 – 15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 – 20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 – 30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31 – 36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37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50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tensión y corriente del Variac y sección del conductor) y registrarla en RME-ELC-01,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 / RME-ELC-01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Asignar al menos dos operadores calificados para el ensayo y planificar pausas regulares.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kit de repuestos GRIS esté completo.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Figuras 2 y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45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17).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 / 00503-00-EPG003, apartado 3.1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apartados 4.4 y 5.3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3468350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35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95600"/>
            <wp:effectExtent t="0" r="0" b="0" l="0"/>
            <wp:docPr id="1" name="detalle_tablero_excitacion.png" descr="Figura 2: Detalle del tablero de excitación (conexiones internas)" title="Figura 2: Detalle del tablero de excitación (conexiones intern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Detalle del tablero de excitación (conexiones internas)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1" name="detalle_borneras.png" descr="Figura 3: Ampliación de las borneras EXCITATION y AUX (numeración de bornes)" title="Figura 3: Ampliación de las borneras EXCITATION y AUX (numeración de bor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Ampliación de las borneras EXCITATION y AUX (numeración de bornes)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5.2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4.4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37 a 44 se repiten para cada ranura a inspeccionar. El paso 45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33.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apartados 5.3 y 5.4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en forma inmediata toda indicación de falla (EL CID, WTT o visual) al ingeniero de generadores a cargo y al Cliente, para que pueda planificar, si corresponde, la extracción del rotor.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37.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4.3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00503-00-EPG003, apartado 7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aeb3044a3be27c25288a4836a4a84c901d2a9c6.png"/><Relationship Id="rId14" Type="http://schemas.openxmlformats.org/officeDocument/2006/relationships/image" Target="media/06afec88290561af00ee980ddcbf8d0aeb533b76.png"/><Relationship Id="rId15" Type="http://schemas.openxmlformats.org/officeDocument/2006/relationships/image" Target="media/b2c3ca5da85ced1931431956c4e0c2828e8c1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2026-10-28T18:45:42.681Z</dcterms:created>
  <dcterms:modified xsi:type="dcterms:W3CDTF">2026-10-28T18:45:42.681Z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