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controlan. Los riesgos propios de la inspección robotizada se toman de la Tabla 4-4 del informe EPRI 3002013612 (2018), «Generator Robotic Inspection and Test Guidelines», en lo que aplica al sistema GRIS: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31);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33);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atascado en el entrehierro (gota de resina, pérdida de energía o falla del robot).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parada; en el peor caso, abrir el otro extremo del generador.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Recuperación con las cuerdas de seguridad (paso 27) y el cable del robot.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29 y 48).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Falla del robot durante el ensayo.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inspección.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 completo (Tabla 1).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Fatiga del operador.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Error de operación: caída del robot, salida por el extremo o datos erróneos.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menos dos operadores calificados y pausas regulares (paso 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Resultados de ensayo erróneos por error del operador, del equipo o de la calibración.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Extracción innecesaria del rotor o falla no detectada.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Calibración según 00503-00-EPG002 – Protocolo 2; revisión de datos y repetición de zonas dudosas (paso 47); análisis por un ingeniero con experiencia.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Hallazgo de una falla grave (por ejemplo, cuñas flojas o punto caliente en el núcleo).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Necesidad de extraer el rotor y extensión de la parada.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Comunicación inmediata al Cliente (paso 43); realizar la inspección lo antes posible dentro de la parada.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17).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 – Manual de uso del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GRIS: configuración del robot y de la rampa, movimiento, cámaras, ensayo de ajuste de cuñas (WTT) y almacenamiento de los datos.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10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11 – 15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 – 20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21 – 30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31 – 36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37 – 45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46 – 50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tensión y corriente del Variac y sección del conductor) y registrarla en RME-ELC-01,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 / RME-ELC-01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Asignar al menos dos operadores calificados para el ensayo y planificar pausas regulares.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el kit de repuestos GRIS esté completo.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45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17).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 / 00503-00-EPG003, apartado 3.1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00503-00-EPG003, apartados 4.4 y 5.3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jc w:val="center"/>
      </w:pPr>
      <w:r>
        <w:drawing>
          <wp:inline distT="0" distB="0" distL="0" distR="0">
            <wp:extent cx="13468350" cy="7772400"/>
            <wp:effectExtent t="0" r="0" b="0" l="0"/>
            <wp:docPr id="1" name="esquema_gener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35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sectPr>
          <w:headerReference w:type="default" r:id="rId9"/>
          <w:footerReference w:type="default" r:id="rId10"/>
          <w:type w:val="nextPage"/>
          <w:pgSz w:w="23811" w:h="16838" w:orient="landscape"/>
          <w:pgMar w:top="2100" w:right="1134" w:bottom="1700" w:left="1134" w:header="500" w:footer="400" w:gutter="0"/>
          <w:pgNumType/>
          <w:docGrid w:linePitch="360"/>
        </w:sectPr>
      </w:pP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5.2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4.4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37 a 44 se repiten para cada ranura a inspeccionar. El paso 45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33.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apartados 5.3 y 5.4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en forma inmediata toda indicación de falla (EL CID, WTT o visual) al ingeniero de generadores a cargo y al Cliente, para que pueda planificar, si corresponde, la extracción del rotor.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37.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7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8543"/>
      <w:gridCol w:w="3000"/>
    </w:tblGrid>
    <w:tr>
      <w:tc>
        <w:tcPr>
          <w:tcW w:type="dxa" w:w="185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15805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1580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9aeb3044a3be27c25288a4836a4a84c901d2a9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2026-10-28T18:55:31.353Z</dcterms:created>
  <dcterms:modified xsi:type="dcterms:W3CDTF">2026-10-28T18:55:31.355Z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