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CÁLCULO DE LA EXCITACIÓN: TENSIÓN Y CORRIENTE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13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CÁLCULO DE LA EXCITACIÓN: TENSIÓN Y CORRIENTE</w:t>
      </w:r>
    </w:p>
    <w:p>
      <w:pPr>
        <w:spacing w:after="100" w:line="264"/>
        <w:jc w:val="both"/>
      </w:pPr>
      <w:r>
        <w:t xml:space="preserve">Este apartado explica cómo se obtienen la tensión por espira, el número de espiras del arrollamiento de excitación y la tensión y la corriente que debe entregar el Variac. Las expresiones siguen a Ridley [1] y son las del formulario </w:t>
      </w:r>
      <w:r>
        <w:rPr>
          <w:b/>
          <w:bCs/>
        </w:rPr>
        <w:t xml:space="preserve">RME-ELC-01 «Registro de cálculo de excitación – Ensayo EL CID»</w:t>
      </w:r>
      <w:r>
        <w:t xml:space="preserve">, donde se registra el cálculo de cada máquina.</w:t>
      </w:r>
    </w:p>
    <w:p>
      <w:pPr>
        <w:pStyle w:val="Heading3"/>
        <w:keepNext/>
        <w:spacing w:after="80" w:before="160"/>
      </w:pPr>
      <w:r>
        <w:t xml:space="preserve">2.4.1 Criterio: 4 % del flujo nominal</w:t>
      </w:r>
    </w:p>
    <w:p>
      <w:pPr>
        <w:spacing w:after="100" w:line="264"/>
        <w:jc w:val="both"/>
      </w:pPr>
      <w:r>
        <w:t xml:space="preserve">Según Ridley [1], el ensayo EL CID se realiza con el núcleo magnetizado a aproximadamente el </w:t>
      </w:r>
      <w:r>
        <w:rPr>
          <w:b/>
          <w:bCs/>
        </w:rPr>
        <w:t xml:space="preserve">4 % del flujo nominal</w:t>
      </w:r>
      <w:r>
        <w:t xml:space="preserve">. A ese nivel, las corrientes de falla entre laminaciones son medibles con el captor, el núcleo no se calienta y la potencia necesaria es de pocos kVA, que puede entregar un Variac monofásico.</w:t>
      </w:r>
    </w:p>
    <w:p>
      <w:pPr>
        <w:spacing w:after="100" w:line="264"/>
        <w:jc w:val="both"/>
      </w:pPr>
      <w:r>
        <w:t xml:space="preserve">Todo el cálculo parte de la </w:t>
      </w:r>
      <w:r>
        <w:rPr>
          <w:b/>
          <w:bCs/>
        </w:rPr>
        <w:t xml:space="preserve">tensión por espira</w:t>
      </w:r>
      <w:r>
        <w:t xml:space="preserve">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: la tensión que se induce en una espira que abraza el yugo con ese 4 % del flujo. Es lo que mide la espira auxiliar y, por lo tanto, la referencia de la calibración (Protocolo 2, paso 3) y del control durante todo el ensayo. Con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 se eligen el número de espiras </w:t>
      </w:r>
      <w:r>
        <w:rPr>
          <w:i/>
          <w:iCs/>
        </w:rPr>
        <w:t xml:space="preserve">N</w:t>
      </w:r>
      <w:r>
        <w:t xml:space="preserve"> y, con él, la tensión y la corriente del Variac.</w:t>
      </w:r>
    </w:p>
    <w:p>
      <w:pPr>
        <w:pStyle w:val="Heading3"/>
        <w:keepNext/>
        <w:spacing w:after="80" w:before="160"/>
      </w:pPr>
      <w:r>
        <w:t xml:space="preserve">2.4.2 Parámetros</w:t>
      </w:r>
    </w:p>
    <w:p>
      <w:pPr>
        <w:keepNext/>
        <w:spacing w:after="100" w:line="264"/>
        <w:jc w:val="both"/>
      </w:pPr>
      <w:r>
        <w:t xml:space="preserve">La tabla reúne todos los parámetros que intervienen, su unidad y de dónde se obtienen: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4000"/>
        <w:gridCol w:w="1000"/>
        <w:gridCol w:w="3488"/>
      </w:tblGrid>
      <w:tr>
        <w:trPr>
          <w:cantSplit/>
          <w:tblHeader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Símbolo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Parámetro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Unidad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Origen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del generador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del generador.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f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nominal; es también la del ensayo.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Hz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(50 o 60 Hz).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p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polos.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Placa, o p = 120 · f / n con n la velocidad nominal [rpm].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Z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ranuras del estator.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fabricante o conteo.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Barras (lados de bobina) por ranura.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Documentación; normalmente 2.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barra.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Documentación; 1 en barras Roebel.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Circuitos en paralelo por fase.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fabricante.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y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bobina, en ranuras.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o inspección del cabezal.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ext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int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Diámetros exterior e interior del núcleo.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h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 de ranura.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Longitud axial total del núcleo.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Cantidad y ancho de los canales de ventilación.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—, 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inspección.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 del rotor (solo método 3).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nom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g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Inducción nominal en el yugo y en el entrehierro (métodos 2 y 3).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Diseño del generador; si no se dispone, el valor adoptado se indica en RME-ELC-01.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Magnitudes calculadas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q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τ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Ranuras por polo y fase; paso polar en ranuras.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Factores de distribución, de paso y de bobinado.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(5).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ph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fase.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o ecuación (6).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Φ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a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Flujo por polo en el entrehierro, a tensión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Wb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(2).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 al 4 % del flujo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(3) (o (8), (9)).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Fe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 medio del núcleo; longitud efectiva de hierro.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Ecuaciones (11) y (8).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Excitación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del arrollamiento de excitación.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 elige con la ecuación (15).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H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 magnético necesario para el 4 % del flujo.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A/m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 adopta 15 A/m como máximo estimado.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ρ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Fe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Densidad del acero; pérdidas específicas al 4 % del flujo.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kg/m³, W/kg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7870 kg/m³; ≈ 0,014 W/kg (RME-ELC-01).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I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y corriente que entrega el Variac.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V, A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Ecuaciones (10) y (14).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var,máx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I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máx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del Variac y del ensayo.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V, A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230 V; 25 A (nominal del Variac) dentro del rango de 5 A a 40 A.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2.4.3 Tensión por espira – método 1: datos de bobinado (referencia)</w:t>
      </w:r>
    </w:p>
    <w:p>
      <w:pPr>
        <w:spacing w:after="100" w:line="264"/>
        <w:jc w:val="both"/>
      </w:pPr>
      <w:r>
        <w:t xml:space="preserve">Para un flujo sinusoidal que recorre el yugo en forma anular, la ley de Faraday da el valor eficaz de la tensión inducida en una espira. El flujo por polo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se divide en dos mitades al entrar en el yugo: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90800" cy="419100"/>
            <wp:effectExtent t="0" r="0" b="0" l="0"/>
            <wp:docPr id="1" name="faraday" descr="Ecuación 1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En servicio, la tensión de fase fija el flujo por polo a través de la ecuación general de la fuerza electromotriz: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2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Reemplazando y tomando el 4 % del flujo nominal, la frecuencia se cancela y la tensión por espira depende solo de la tensión nominal y del bobinado: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486025" cy="457200"/>
            <wp:effectExtent t="0" r="0" b="0" l="0"/>
            <wp:docPr id="1" name="vt" descr="Ecuación 3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K</w:t>
      </w:r>
      <w:r>
        <w:t xml:space="preserve">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no figuran en la documentación, se calculan con los datos constructivos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71575" cy="400050"/>
            <wp:effectExtent t="0" r="0" b="0" l="0"/>
            <wp:docPr id="1" name="q" descr="Ecuación 4" title="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3276600" cy="428625"/>
            <wp:effectExtent t="0" r="0" b="0" l="0"/>
            <wp:docPr id="1" name="k" descr="Ecuación 5" title="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781050" cy="371475"/>
            <wp:effectExtent t="0" r="0" b="0" l="0"/>
            <wp:docPr id="1" name="tph" descr="Ecuación 6" title="t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Para una verificación rápida en campo, con </w:t>
      </w:r>
      <w:r>
        <w:rPr>
          <w:i/>
          <w:iCs/>
        </w:rPr>
        <w:t xml:space="preserve">K</w:t>
      </w:r>
      <w:r>
        <w:t xml:space="preserve"> ≈ 0,926 la expresión se reduce 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62150" cy="428625"/>
            <wp:effectExtent t="0" r="0" b="0" l="0"/>
            <wp:docPr id="1" name="practica" descr="Ecuación 7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pStyle w:val="Heading3"/>
        <w:keepNext/>
        <w:spacing w:after="80" w:before="160"/>
      </w:pPr>
      <w:r>
        <w:t xml:space="preserve">2.4.4 Tensión por espira – métodos 2 y 3: geometría (verificación)</w:t>
      </w:r>
    </w:p>
    <w:p>
      <w:pPr>
        <w:spacing w:after="100" w:line="264"/>
        <w:jc w:val="both"/>
      </w:pPr>
      <w:r>
        <w:t xml:space="preserve">Si no se conocen los datos de bobinado, o para verificar el método 1,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 se estima con la sección del yugo (método 2) o con el flujo en el entrehierro calculado con la geometría del rotor (método 3):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4695825" cy="371475"/>
            <wp:effectExtent t="0" r="0" b="0" l="0"/>
            <wp:docPr id="1" name="yugo" descr="Ecuación 8" title="yu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666875" cy="371475"/>
            <wp:effectExtent t="0" r="0" b="0" l="0"/>
            <wp:docPr id="1" name="rotor" descr="Ecuación 9" title="ro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(9)</w:t>
      </w:r>
    </w:p>
    <w:p>
      <w:pPr>
        <w:spacing w:after="100" w:line="264"/>
        <w:jc w:val="both"/>
      </w:pPr>
      <w:r>
        <w:t xml:space="preserve">Si estos valores difieren mucho del método 1, revisar los datos de entrada antes de iniciar el ensayo.</w:t>
      </w:r>
    </w:p>
    <w:p>
      <w:pPr>
        <w:pStyle w:val="Heading3"/>
        <w:keepNext/>
        <w:spacing w:after="80" w:before="160"/>
      </w:pPr>
      <w:r>
        <w:t xml:space="preserve">2.4.5 Tensión y corriente del Variac</w:t>
      </w:r>
    </w:p>
    <w:p>
      <w:pPr>
        <w:spacing w:after="100" w:line="264"/>
        <w:jc w:val="both"/>
      </w:pPr>
      <w:r>
        <w:t xml:space="preserve">El arrollamiento de excitación de </w:t>
      </w:r>
      <w:r>
        <w:rPr>
          <w:i/>
          <w:iCs/>
        </w:rPr>
        <w:t xml:space="preserve">N</w:t>
      </w:r>
      <w:r>
        <w:t xml:space="preserve"> espiras abraza el yugo igual que la espira auxiliar, por lo que la tensión que debe entregar el Variac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752475" cy="238125"/>
            <wp:effectExtent t="0" r="0" b="0" l="0"/>
            <wp:docPr id="1" name="vvar" descr="Ecuación 10" title="vv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(10)</w:t>
      </w:r>
    </w:p>
    <w:p>
      <w:pPr>
        <w:spacing w:after="100" w:line="264"/>
        <w:jc w:val="both"/>
      </w:pPr>
      <w:r>
        <w:rPr>
          <w:b/>
          <w:bCs/>
        </w:rPr>
        <w:t xml:space="preserve">Corriente de magnetización.</w:t>
      </w:r>
      <w:r>
        <w:t xml:space="preserve"> Para establecer el flujo se necesita una fuerza magnetomotriz igual al campo </w:t>
      </w:r>
      <w:r>
        <w:rPr>
          <w:i/>
          <w:iCs/>
        </w:rPr>
        <w:t xml:space="preserve">H</w:t>
      </w:r>
      <w:r>
        <w:t xml:space="preserve"> por la longitud media del recorrido del flujo en el yugo: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24125" cy="371475"/>
            <wp:effectExtent t="0" r="0" b="0" l="0"/>
            <wp:docPr id="1" name="fmm" descr="Ecuación 11" title="fm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(11)</w:t>
      </w:r>
    </w:p>
    <w:p>
      <w:pPr>
        <w:spacing w:after="100" w:line="264"/>
        <w:jc w:val="both"/>
      </w:pPr>
      <w:r>
        <w:t xml:space="preserve">Multiplicando ambas expresiones, la potencia reactiva no depende del número de espiras: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562100" cy="238125"/>
            <wp:effectExtent t="0" r="0" b="0" l="0"/>
            <wp:docPr id="1" name="q_reac" descr="Ecuación 12" title="q_re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(12)</w:t>
      </w:r>
    </w:p>
    <w:p>
      <w:pPr>
        <w:spacing w:after="100" w:line="264"/>
        <w:jc w:val="both"/>
      </w:pPr>
      <w:r>
        <w:rPr>
          <w:b/>
          <w:bCs/>
        </w:rPr>
        <w:t xml:space="preserve">Pérdidas en el núcleo.</w:t>
      </w:r>
      <w:r>
        <w:t xml:space="preserve"> Se estiman con la masa del núcleo y las pérdidas específicas al 4 % del flujo: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19375" cy="419100"/>
            <wp:effectExtent t="0" r="0" b="0" l="0"/>
            <wp:docPr id="1" name="pfe" descr="Ecuación 13" title="p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(13)</w:t>
      </w:r>
    </w:p>
    <w:p>
      <w:pPr>
        <w:spacing w:after="100" w:line="264"/>
        <w:jc w:val="both"/>
      </w:pPr>
      <w:r>
        <w:rPr>
          <w:b/>
          <w:bCs/>
        </w:rPr>
        <w:t xml:space="preserve">Potencia y corriente.</w:t>
      </w:r>
      <w:r>
        <w:t xml:space="preserve"> La potencia aparente y la corriente que debe entregar el Variac son: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52700" cy="400050"/>
            <wp:effectExtent t="0" r="0" b="0" l="0"/>
            <wp:docPr id="1" name="s" descr="Ecuación 14" title="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(14)</w:t>
      </w:r>
    </w:p>
    <w:p>
      <w:pPr>
        <w:spacing w:after="100" w:line="264"/>
        <w:jc w:val="both"/>
      </w:pPr>
      <w:r>
        <w:rPr>
          <w:b/>
          <w:bCs/>
        </w:rPr>
        <w:t xml:space="preserve">Elección de N.</w:t>
      </w:r>
      <w:r>
        <w:t xml:space="preserve"> Más espiras aumentan la tensión del Variac y reducen su corriente. </w:t>
      </w:r>
      <w:r>
        <w:rPr>
          <w:i/>
          <w:iCs/>
        </w:rPr>
        <w:t xml:space="preserve">N</w:t>
      </w:r>
      <w:r>
        <w:t xml:space="preserve"> debe cumplir a la vez el límite de tensión y el de corriente: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666875" cy="419100"/>
            <wp:effectExtent t="0" r="0" b="0" l="0"/>
            <wp:docPr id="1" name="n" descr="Ecuación 15" title="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(15)</w:t>
      </w:r>
    </w:p>
    <w:p>
      <w:pPr>
        <w:spacing w:after="100" w:line="264"/>
        <w:jc w:val="both"/>
      </w:pPr>
      <w:r>
        <w:t xml:space="preserve">Verificar además que </w:t>
      </w:r>
      <w:r>
        <w:rPr>
          <w:i/>
          <w:iCs/>
        </w:rPr>
        <w:t xml:space="preserve">S</w:t>
      </w:r>
      <w:r>
        <w:t xml:space="preserve"> no supere la potencia nominal del Variac (6 kVA) y que </w:t>
      </w:r>
      <w:r>
        <w:rPr>
          <w:i/>
          <w:iCs/>
        </w:rPr>
        <w:t xml:space="preserve">I</w:t>
      </w:r>
      <w:r>
        <w:rPr>
          <w:vertAlign w:val="subscript"/>
        </w:rPr>
        <w:t xml:space="preserve">var</w:t>
      </w:r>
      <w:r>
        <w:t xml:space="preserve"> quede dentro del rango de 5 A a 40 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Importante: </w:t>
            </w:r>
            <w:r>
              <w:t xml:space="preserve">la corriente y la potencia calculadas son estimaciones para elegir N y verificar el Variac. En el ensayo, la referencia es siempre la tensión medida en la espira auxiliar, que debe igualar el valor de vt calculado (Protocolo 2). La tensión y la corriente reales se registran en RME-ELC-01.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2.4.6 Ejemplo de cálculo (método 1)</w:t>
      </w:r>
    </w:p>
    <w:p>
      <w:pPr>
        <w:keepNext/>
        <w:spacing w:after="100" w:line="264"/>
        <w:jc w:val="both"/>
      </w:pPr>
      <w:r>
        <w:t xml:space="preserve">Generador de 11,5 kV, 50 Hz, 2 polos, 54 ranuras, 2 barras por ranura, 1 espira en serie por barra, paso de bobina de 22 ranuras y 1 circuito por fase: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cantSplit/>
          <w:tblHeader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Cálculo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Ranuras por polo y fase; paso polar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q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/ (3 · 2); 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τ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/ 2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9;  27 ranuras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distribución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sen(9π/54) / (9 · sen(π/54))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0,9555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paso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sen((22/27) · π/2)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0,9580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bobinado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0,9555 · 0,9580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0,9153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fase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ph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· 2 · 1 / (6 · 1)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0,04 · 11 500 / (2 · √3 · 0,9153 · 18)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8,07 V/espira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rápida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</w:rPr>
              <w:t xml:space="preserve"> ≈ 12,5 · 11,5 / 18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7,99 V/espira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del Variac con N = 5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 · 8,07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40,3 V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ddd280ea2999f94e71040bdd420dc780c9e34fab.png"/><Relationship Id="rId16" Type="http://schemas.openxmlformats.org/officeDocument/2006/relationships/image" Target="media/822a639fff9d0d41a362545d8fba2646c338216d.png"/><Relationship Id="rId17" Type="http://schemas.openxmlformats.org/officeDocument/2006/relationships/image" Target="media/ab3332474ae395de5df0ba782a022376f4f32d3c.png"/><Relationship Id="rId18" Type="http://schemas.openxmlformats.org/officeDocument/2006/relationships/image" Target="media/144d12936a771f0ec8cc89d29ee394c82229815e.png"/><Relationship Id="rId19" Type="http://schemas.openxmlformats.org/officeDocument/2006/relationships/image" Target="media/81cc880242ab09ac90318c480000c021da906512.png"/><Relationship Id="rId20" Type="http://schemas.openxmlformats.org/officeDocument/2006/relationships/image" Target="media/b76dfd61bc0eccc7a6a485131a068ee673811208.png"/><Relationship Id="rId21" Type="http://schemas.openxmlformats.org/officeDocument/2006/relationships/image" Target="media/41dd5130e456ec2b059287a4082e0b1d47323f22.png"/><Relationship Id="rId22" Type="http://schemas.openxmlformats.org/officeDocument/2006/relationships/image" Target="media/f5b0ad19b980a3487fdf3fcf2d9717f39230fc54.png"/><Relationship Id="rId23" Type="http://schemas.openxmlformats.org/officeDocument/2006/relationships/image" Target="media/a0c1245ccc4119eeb6b145ac6884f2730d02f5a9.png"/><Relationship Id="rId24" Type="http://schemas.openxmlformats.org/officeDocument/2006/relationships/image" Target="media/027ca7ce3014e61cf1e3b5aa7d9b3fdc7832fd50.png"/><Relationship Id="rId25" Type="http://schemas.openxmlformats.org/officeDocument/2006/relationships/image" Target="media/42786981e944fc3cfdd68041b18e889bca3e2b6f.png"/><Relationship Id="rId26" Type="http://schemas.openxmlformats.org/officeDocument/2006/relationships/image" Target="media/00c2b1f24a53b951bef61617144463159f4105e4.png"/><Relationship Id="rId27" Type="http://schemas.openxmlformats.org/officeDocument/2006/relationships/image" Target="media/259d9db3d0c4e596c9b8d5d4827d8056b755742c.png"/><Relationship Id="rId28" Type="http://schemas.openxmlformats.org/officeDocument/2006/relationships/image" Target="media/37159fae4c22c7f1d4ae618e56fb770e29511657.png"/><Relationship Id="rId29" Type="http://schemas.openxmlformats.org/officeDocument/2006/relationships/image" Target="media/9d56d29f9f483efac3ecc60f93592af934d333b4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2026-10-28T18:55:38.885Z</dcterms:created>
  <dcterms:modified xsi:type="dcterms:W3CDTF">2026-10-28T18:55:38.885Z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