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2.2 PROTOCOLO 2 – CALIBRACIÓN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2.3 PROTOCOLO 3 – OPERACIÓN DEL SOFTWARE ELCSOFT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2.4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2.7, 2.8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2.6, 2.9, 2.10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Apartados 2.8, 2.10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2.1.1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tablero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2.1.3 Cálculo del número de espiras</w:t>
      </w:r>
    </w:p>
    <w:p>
      <w:pPr>
        <w:spacing w:after="100" w:line="264"/>
        <w:jc w:val="both"/>
      </w:pPr>
      <w:r>
        <w:t xml:space="preserve">El número de espiras N se determina a partir de la tensión por espira calculada según el apartado 2.4 (Apéndice) y se registra en RME-ELC-01,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2.1.5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2.1.6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apartados 2.7 (montaje de la excitación) y 2.10 (inspección por ranura).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2.1.2.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2.4).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2.3.1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(2.3.2).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(2.3.5).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2.3.4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2.3.5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2.3.6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2.4 APÉNDICE – DETERMINACIÓN DE LA TENSIÓN POR ESPIRA</w:t>
      </w:r>
    </w:p>
    <w:p>
      <w:pPr>
        <w:spacing w:after="100" w:line="264"/>
        <w:jc w:val="both"/>
      </w:pPr>
      <w:r>
        <w:t xml:space="preserve">El ensayo se realiza con el núcleo magnetizado al 4 % del flujo nominal (Ridley [1]). El cálculo de cada máquina se registra en RME-ELC-01 «Registro de cálculo de excitación – Ensayo EL CID».</w:t>
      </w:r>
    </w:p>
    <w:p>
      <w:pPr>
        <w:spacing w:after="100" w:line="264"/>
        <w:jc w:val="both"/>
      </w:pPr>
      <w:r>
        <w:t xml:space="preserve">Considerando </w:t>
      </w:r>
      <w:r>
        <w:rPr>
          <w:i/>
          <w:iCs/>
        </w:rPr>
        <w:t xml:space="preserve">Φ</w:t>
      </w:r>
      <w:r>
        <w:t xml:space="preserve"> el flujo sinusoidal inducido en forma anular en el núcleo del estator: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9675" cy="238125"/>
            <wp:effectExtent t="0" r="0" b="0" l="0"/>
            <wp:docPr id="1" name="flujo" descr="Ecuación 1" title="fluj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96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m</w:t>
      </w:r>
      <w:r>
        <w:t xml:space="preserve"> es el valor máximo del flujo [Wb], </w:t>
      </w:r>
      <w:r>
        <w:rPr>
          <w:i/>
          <w:iCs/>
        </w:rPr>
        <w:t xml:space="preserve">f</w:t>
      </w:r>
      <w:r>
        <w:t xml:space="preserve"> la frecuencia [Hz] y </w:t>
      </w:r>
      <w:r>
        <w:rPr>
          <w:i/>
          <w:iCs/>
        </w:rPr>
        <w:t xml:space="preserve">t</w:t>
      </w:r>
      <w:r>
        <w:t xml:space="preserve"> el tiempo [s]. La tensión inducida por espira viene dada por la ley de Faraday: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066925" cy="371475"/>
            <wp:effectExtent t="0" r="0" b="0" l="0"/>
            <wp:docPr id="1" name="faraday" descr="Ecuación 2" title="fara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cuyo valor eficaz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847725" cy="419100"/>
            <wp:effectExtent t="0" r="0" b="0" l="0"/>
            <wp:docPr id="1" name="eficaz" descr="Ecuación 3" title="efica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El flujo por polo a través del entrehierro,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, queda dividido en dos en el yugo, por lo tanto: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609850" cy="419100"/>
            <wp:effectExtent t="0" r="0" b="0" l="0"/>
            <wp:docPr id="1" name="mitad" descr="Ecuación 4" title="mit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Para un 4 % del flujo nominal en el entrehierro, la tensión eficaz por espira es la siguiente; para 50 Hz resulta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4,44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 y para 60 Hz, </w:t>
      </w:r>
      <w:r>
        <w:rPr>
          <w:i/>
          <w:iCs/>
        </w:rPr>
        <w:t xml:space="preserve">v</w:t>
      </w:r>
      <w:r>
        <w:rPr>
          <w:vertAlign w:val="subscript"/>
        </w:rPr>
        <w:t xml:space="preserve">4%</w:t>
      </w:r>
      <w:r>
        <w:t xml:space="preserve"> = 5,33 · </w:t>
      </w:r>
      <w:r>
        <w:rPr>
          <w:i/>
          <w:iCs/>
        </w:rPr>
        <w:t xml:space="preserve">Φ</w:t>
      </w:r>
      <w:r>
        <w:rPr>
          <w:vertAlign w:val="subscript"/>
        </w:rPr>
        <w:t xml:space="preserve">a</w:t>
      </w:r>
      <w:r>
        <w:t xml:space="preserve">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190625" cy="238125"/>
            <wp:effectExtent t="0" r="0" b="0" l="0"/>
            <wp:docPr id="1" name="v4" descr="Ecuación 5" title="v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El flujo en el entrehierro de la máquina, en webers, es: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200150" cy="476250"/>
            <wp:effectExtent t="0" r="0" b="0" l="0"/>
            <wp:docPr id="1" name="fem" descr="Ecuación 6" title="f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(6)</w:t>
      </w:r>
    </w:p>
    <w:p>
      <w:pPr>
        <w:spacing w:after="100" w:line="264"/>
        <w:jc w:val="both"/>
      </w:pPr>
      <w:r>
        <w:t xml:space="preserve">donde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es la tensión de línea, </w:t>
      </w:r>
      <w:r>
        <w:rPr>
          <w:i/>
          <w:iCs/>
        </w:rPr>
        <w:t xml:space="preserve">K</w:t>
      </w:r>
      <w:r>
        <w:t xml:space="preserve"> la combinación de los factores de paso y de distribución y </w:t>
      </w:r>
      <w:r>
        <w:rPr>
          <w:i/>
          <w:iCs/>
        </w:rPr>
        <w:t xml:space="preserve">T</w:t>
      </w:r>
      <w:r>
        <w:rPr>
          <w:vertAlign w:val="subscript"/>
        </w:rPr>
        <w:t xml:space="preserve">ph</w:t>
      </w:r>
      <w:r>
        <w:t xml:space="preserve"> el número de espiras por fase. Para el 4 % del flujo nominal, la tensión por espira queda: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2924175" cy="523875"/>
            <wp:effectExtent t="0" r="0" b="0" l="0"/>
            <wp:docPr id="1" name="vt" descr="Ecuación 7" title="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(7)</w:t>
      </w:r>
    </w:p>
    <w:p>
      <w:pPr>
        <w:spacing w:after="100" w:line="264"/>
        <w:jc w:val="both"/>
      </w:pPr>
      <w:r>
        <w:t xml:space="preserve">Si </w:t>
      </w:r>
      <w:r>
        <w:rPr>
          <w:i/>
          <w:iCs/>
        </w:rPr>
        <w:t xml:space="preserve">V</w:t>
      </w:r>
      <w:r>
        <w:rPr>
          <w:vertAlign w:val="subscript"/>
        </w:rPr>
        <w:t xml:space="preserve">l</w:t>
      </w:r>
      <w:r>
        <w:t xml:space="preserve"> se expresa en kV y se adopta </w:t>
      </w:r>
      <w:r>
        <w:rPr>
          <w:i/>
          <w:iCs/>
        </w:rPr>
        <w:t xml:space="preserve">K</w:t>
      </w:r>
      <w:r>
        <w:t xml:space="preserve"> = 0,926:</w:t>
      </w:r>
    </w:p>
    <w:p>
      <w:pPr>
        <w:keepLines/>
        <w:tabs>
          <w:tab w:val="center" w:pos="4819"/>
          <w:tab w:val="right" w:pos="9638"/>
        </w:tabs>
        <w:spacing w:after="140" w:before="100"/>
        <w:jc w:val="left"/>
      </w:pPr>
      <w:r>
        <w:t xml:space="preserve">	</w:t>
      </w:r>
      <w:r>
        <w:drawing>
          <wp:inline distT="0" distB="0" distL="0" distR="0">
            <wp:extent cx="1924050" cy="428625"/>
            <wp:effectExtent t="0" r="0" b="0" l="0"/>
            <wp:docPr id="1" name="practica" descr="Ecuación 8" title="pract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6D8289"/>
        </w:rPr>
        <w:t xml:space="preserve">	(8)</w:t>
      </w:r>
    </w:p>
    <w:p>
      <w:pPr>
        <w:pStyle w:val="Heading1"/>
        <w:keepNext/>
        <w:spacing w:after="140" w:before="280"/>
      </w:pPr>
      <w:r>
        <w:t xml:space="preserve">3. REGISTROS</w:t>
      </w:r>
    </w:p>
    <w:p>
      <w:pPr>
        <w:keepNext/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RME-ELC-01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cálculo de excitación – Ensayo EL CID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28/10/2026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Matias Gaviño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</w:p>
        </w:tc>
      </w:tr>
    </w:tbl>
    <w:p>
      <w:pPr>
        <w:keepNext/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/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[1] Ridley G. K., «EL CID – Application and Analysis», 2000.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28/10/2026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image" Target="media/4b0f45f96e9132a18dd9615d2ec25e30f730ede2.png"/><Relationship Id="rId16" Type="http://schemas.openxmlformats.org/officeDocument/2006/relationships/image" Target="media/a71af61c09a7a336fe73079da7c91c52986e6eb3.png"/><Relationship Id="rId17" Type="http://schemas.openxmlformats.org/officeDocument/2006/relationships/image" Target="media/4de56abb5f49c0747f219218a6c65dd40116f367.png"/><Relationship Id="rId18" Type="http://schemas.openxmlformats.org/officeDocument/2006/relationships/image" Target="media/504bb8747f57582bd6902ea9cfc3bc79c59ece6c.png"/><Relationship Id="rId19" Type="http://schemas.openxmlformats.org/officeDocument/2006/relationships/image" Target="media/8af964d7e7b198d5388ae37fb2504a06548d9fa7.png"/><Relationship Id="rId20" Type="http://schemas.openxmlformats.org/officeDocument/2006/relationships/image" Target="media/1da21c7a51b1b17a1797033f35b1d094c3a2ea10.png"/><Relationship Id="rId21" Type="http://schemas.openxmlformats.org/officeDocument/2006/relationships/image" Target="media/41f22330b2c6159659f8ed621863e9870f663d57.png"/><Relationship Id="rId22" Type="http://schemas.openxmlformats.org/officeDocument/2006/relationships/image" Target="media/e6476ca1d145c79df5b8c622093c49e2733bd40a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2026-10-28T20:15:47.684Z</dcterms:created>
  <dcterms:modified xsi:type="dcterms:W3CDTF">2026-10-28T20:15:47.684Z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