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12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28);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30);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26 y 45).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9 – 13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14 – 17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18 – 27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28 – 33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34 – 42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43 – 47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arrollamiento de excitación del núcleo.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(50 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Arrollamiento de excitación del núcleo.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Resistencias de calibración y cables con fichas banana para la falla controlada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 la tensión por espira y de la corriente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arrollamiento de excitación y el Variac según el cálculo aprobado.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robot con control box y con tablero EL CID; PC GRIS con control box (USB y Ethernet); PC EL CID con tablero EL CID (USB); circuito de excitación y alimentaciones,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r>
        <w:br w:type="page"/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67350" cy="7953375"/>
            <wp:effectExtent t="0" r="0" b="0" l="0"/>
            <wp:docPr id="1" name="esquema_general_vertical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34 a 41 se repiten para cada ranura a inspeccionar. El paso 42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30.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toda indicación de falla (EL CID, WTT o visual) al ingeniero de generadores a cargo.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34.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7a3279ef067d273a80ce4b4473128a0283f4f3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2026-10-28T02:53:32.239Z</dcterms:created>
  <dcterms:modified xsi:type="dcterms:W3CDTF">2026-10-28T02:53:32.239Z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