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5</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7</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keepNext/>
        <w:spacing w:after="100" w:line="264"/>
        <w:jc w:val="both"/>
      </w:pPr>
      <w:r>
        <w:rPr>
          <w:b/>
          <w:bCs/>
        </w:rPr>
        <w:t xml:space="preserve">Cómo leer este procedimiento</w:t>
      </w:r>
    </w:p>
    <w:p>
      <w:pPr>
        <w:pStyle w:val="ListParagraph"/>
        <w:numPr>
          <w:ilvl w:val="0"/>
          <w:numId w:val="2"/>
        </w:numPr>
        <w:spacing w:after="60" w:line="264"/>
        <w:jc w:val="both"/>
      </w:pPr>
      <w:r>
        <w:rPr>
          <w:b/>
          <w:bCs/>
        </w:rPr>
        <w:t xml:space="preserve">Secciones:</w:t>
      </w:r>
      <w:r>
        <w:t xml:space="preserve"> la inspección se divide en etapas, que son los apartados 2.4 a 2.11. El apartado 2.3 resume las etapas con sus pasos. Los subapartados (por ejemplo, 2.8.1) amplían un paso con figuras o tablas.</w:t>
      </w:r>
    </w:p>
    <w:p>
      <w:pPr>
        <w:pStyle w:val="ListParagraph"/>
        <w:numPr>
          <w:ilvl w:val="0"/>
          <w:numId w:val="2"/>
        </w:numPr>
        <w:spacing w:after="60" w:line="264"/>
        <w:jc w:val="both"/>
      </w:pPr>
      <w:r>
        <w:rPr>
          <w:b/>
          <w:bCs/>
        </w:rPr>
        <w:t xml:space="preserve">Pasos:</w:t>
      </w:r>
      <w:r>
        <w:t xml:space="preserve"> cada etapa tiene una tabla de pasos. La columna «Nº» lleva un número correlativo y único en todo el procedimiento: cuando el texto dice «paso 27», remite a ese número.</w:t>
      </w:r>
    </w:p>
    <w:p>
      <w:pPr>
        <w:pStyle w:val="ListParagraph"/>
        <w:numPr>
          <w:ilvl w:val="0"/>
          <w:numId w:val="2"/>
        </w:numPr>
        <w:spacing w:after="60" w:line="264"/>
        <w:jc w:val="both"/>
      </w:pPr>
      <w:r>
        <w:rPr>
          <w:b/>
          <w:bCs/>
        </w:rPr>
        <w:t xml:space="preserve">Columnas:</w:t>
      </w:r>
      <w:r>
        <w:t xml:space="preserve"> «Actividad» indica qué hacer; «Referencia», el documento y apartado donde está el detalle (por ejemplo, «00503-00-EPG003, apartado 4.3»). Un guion (—) indica que no hay documento asociado.</w:t>
      </w:r>
    </w:p>
    <w:p>
      <w:pPr>
        <w:pStyle w:val="ListParagraph"/>
        <w:numPr>
          <w:ilvl w:val="0"/>
          <w:numId w:val="2"/>
        </w:numPr>
        <w:spacing w:after="60" w:line="264"/>
        <w:jc w:val="both"/>
      </w:pPr>
      <w:r>
        <w:rPr>
          <w:b/>
          <w:bCs/>
        </w:rPr>
        <w:t xml:space="preserve">Recuadros:</w:t>
      </w:r>
      <w:r>
        <w:t xml:space="preserve"> borde naranja, precaución de seguridad; borde gris, información complementaria.</w:t>
      </w:r>
    </w:p>
    <w:p>
      <w:pPr>
        <w:spacing w:after="120" w:before="0"/>
      </w:pP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3).</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3,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pStyle w:val="Heading3"/>
        <w:keepNext/>
        <w:spacing w:after="80" w:before="160"/>
      </w:pPr>
      <w:r>
        <w:t xml:space="preserve">2.8.2 Puesta en marcha y parada del control box</w:t>
      </w:r>
    </w:p>
    <w:p>
      <w:pPr>
        <w:keepNext/>
        <w:spacing w:after="100" w:line="264"/>
        <w:jc w:val="both"/>
      </w:pPr>
      <w:r>
        <w:t xml:space="preserve">La secuencia de la Tabla 3 protege los componentes del robot contra descargas electrostáticas. Se aplica cada vez que se conecta el cable principal (puesta en marcha, paso 27) y cada vez que se desconecta (parada).</w:t>
      </w:r>
    </w:p>
    <w:p>
      <w:pPr>
        <w:keepNext/>
        <w:spacing w:after="100" w:line="264"/>
        <w:jc w:val="both"/>
      </w:pPr>
      <w:r>
        <w:rPr>
          <w:b/>
          <w:bCs/>
        </w:rPr>
        <w:t xml:space="preserve">Tabla 3: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2026-10-29T14:12:15.854Z</dcterms:created>
  <dcterms:modified xsi:type="dcterms:W3CDTF">2026-10-29T14:12:15.855Z</dcterms:modified>
</cp:coreProperties>
</file>

<file path=docProps/custom.xml><?xml version="1.0" encoding="utf-8"?>
<Properties xmlns="http://schemas.openxmlformats.org/officeDocument/2006/custom-properties" xmlns:vt="http://schemas.openxmlformats.org/officeDocument/2006/docPropsVTypes"/>
</file>