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b/>
          <w:bCs/>
          <w:color w:val="E36C0A"/>
          <w:sz w:val="36"/>
          <w:szCs w:val="36"/>
        </w:rPr>
        <w:t xml:space="preserve">PROTOCOLOS DE ENSAYO EL CID</w:t>
      </w:r>
    </w:p>
    <w:p>
      <w:pPr>
        <w:spacing w:after="240"/>
        <w:jc w:val="center"/>
      </w:pPr>
      <w:r>
        <w:rPr>
          <w:b/>
          <w:bCs/>
          <w:color w:val="E36C0A"/>
          <w:sz w:val="30"/>
          <w:szCs w:val="30"/>
        </w:rPr>
        <w:t xml:space="preserve">Excitación del núcleo, calibración y operación de ELCSoft</w:t>
      </w:r>
    </w:p>
    <w:p>
      <w:pPr>
        <w:pStyle w:val="Heading1"/>
        <w:keepNext/>
        <w:spacing w:after="60" w:before="200"/>
      </w:pPr>
      <w:r>
        <w:rPr>
          <w:color w:val="6D8289"/>
        </w:rPr>
        <w:t xml:space="preserve">OBJETIVO</w:t>
      </w:r>
    </w:p>
    <w:p>
      <w:pPr>
        <w:spacing w:after="100" w:line="264"/>
        <w:jc w:val="both"/>
      </w:pPr>
      <w:r>
        <w:t xml:space="preserve">Establecer los protocolos técnicos para la excitación del núcleo, la calibración del sistema de medición y la operación del software ELCSoft en el ensayo EL CID, como anexo del procedimiento 00503-00-EPG001.</w:t>
      </w:r>
    </w:p>
    <w:p>
      <w:pPr>
        <w:pStyle w:val="Heading1"/>
        <w:keepNext/>
        <w:spacing w:after="60" w:before="200"/>
      </w:pPr>
      <w:r>
        <w:rPr>
          <w:color w:val="6D8289"/>
        </w:rPr>
        <w:t xml:space="preserve">ALCANCE</w:t>
      </w:r>
    </w:p>
    <w:p>
      <w:pPr>
        <w:spacing w:after="100" w:line="264"/>
        <w:jc w:val="both"/>
      </w:pPr>
      <w:r>
        <w:t xml:space="preserve">Ensayo EL CID para determinar la condición de la aislación interlaminar de núcleos estatóricos de generadores eléctricos, con el rotor colocado (inspección robotizada GRIS) o con el rotor desmontado.</w:t>
      </w:r>
    </w:p>
    <w:p>
      <w:pPr>
        <w:pBdr>
          <w:bottom w:val="single" w:color="E36C0A" w:sz="8" w:space="1"/>
        </w:pBdr>
        <w:spacing w:before="120"/>
      </w:pPr>
    </w:p>
    <w:p>
      <w:r>
        <w:br w:type="page"/>
      </w:r>
    </w:p>
    <w:p>
      <w:pPr>
        <w:spacing w:after="160"/>
      </w:pPr>
      <w:r>
        <w:rPr>
          <w:b/>
          <w:bCs/>
          <w:color w:val="6D8289"/>
          <w:sz w:val="24"/>
          <w:szCs w:val="24"/>
        </w:rPr>
        <w:t xml:space="preserve">ÍNDICE</w:t>
      </w:r>
    </w:p>
    <w:p>
      <w:pPr>
        <w:tabs>
          <w:tab w:val="right" w:leader="dot" w:pos="9638"/>
        </w:tabs>
        <w:spacing w:after="60"/>
        <w:ind w:left="0"/>
      </w:pPr>
      <w:r>
        <w:fldChar w:fldCharType="begin"/>
      </w:r>
      <w:r>
        <w:instrText xml:space="preserve"> TOC \o "1-2" \u </w:instrText>
      </w:r>
      <w:r>
        <w:fldChar w:fldCharType="separate"/>
      </w:r>
      <w:r>
        <w:rPr>
          <w:b/>
          <w:sz w:val="20"/>
        </w:rPr>
        <w:t xml:space="preserve">OBJETIVO</w:t>
      </w:r>
      <w:r>
        <w:rPr>
          <w:sz w:val="19"/>
        </w:rPr>
        <w:tab/>
        <w:t>1</w:t>
      </w:r>
    </w:p>
    <w:p>
      <w:pPr>
        <w:tabs>
          <w:tab w:val="right" w:leader="dot" w:pos="9638"/>
        </w:tabs>
        <w:spacing w:after="60"/>
        <w:ind w:left="0"/>
      </w:pPr>
      <w:r>
        <w:rPr>
          <w:b/>
          <w:sz w:val="20"/>
        </w:rPr>
        <w:t xml:space="preserve">ALCANCE</w:t>
      </w:r>
      <w:r>
        <w:rPr>
          <w:sz w:val="19"/>
        </w:rPr>
        <w:tab/>
        <w:t>1</w:t>
      </w:r>
    </w:p>
    <w:p>
      <w:pPr>
        <w:tabs>
          <w:tab w:val="right" w:leader="dot" w:pos="9638"/>
        </w:tabs>
        <w:spacing w:after="60"/>
        <w:ind w:left="0"/>
      </w:pPr>
      <w:r>
        <w:rPr>
          <w:b/>
          <w:sz w:val="20"/>
        </w:rPr>
        <w:t xml:space="preserve">1. DEFINICIONES</w:t>
      </w:r>
      <w:r>
        <w:rPr>
          <w:sz w:val="19"/>
        </w:rPr>
        <w:tab/>
        <w:t>3</w:t>
      </w:r>
    </w:p>
    <w:p>
      <w:pPr>
        <w:tabs>
          <w:tab w:val="right" w:leader="dot" w:pos="9638"/>
        </w:tabs>
        <w:spacing w:after="60"/>
        <w:ind w:left="0"/>
      </w:pPr>
      <w:r>
        <w:rPr>
          <w:b/>
          <w:sz w:val="20"/>
        </w:rPr>
        <w:t xml:space="preserve">2. CONTENIDO</w:t>
      </w:r>
      <w:r>
        <w:rPr>
          <w:sz w:val="19"/>
        </w:rPr>
        <w:tab/>
        <w:t>3</w:t>
      </w:r>
    </w:p>
    <w:p>
      <w:pPr>
        <w:tabs>
          <w:tab w:val="right" w:leader="dot" w:pos="9638"/>
        </w:tabs>
        <w:spacing w:after="30"/>
        <w:ind w:left="425"/>
      </w:pPr>
      <w:r>
        <w:rPr>
          <w:sz w:val="19"/>
        </w:rPr>
        <w:t xml:space="preserve">2.1 PROTOCOLO 1 – EXCITACIÓN DEL NÚCLEO</w:t>
      </w:r>
      <w:r>
        <w:rPr>
          <w:sz w:val="19"/>
        </w:rPr>
        <w:tab/>
        <w:t>3</w:t>
      </w:r>
    </w:p>
    <w:p>
      <w:pPr>
        <w:tabs>
          <w:tab w:val="right" w:leader="dot" w:pos="9638"/>
        </w:tabs>
        <w:spacing w:after="30"/>
        <w:ind w:left="425"/>
      </w:pPr>
      <w:r>
        <w:rPr>
          <w:sz w:val="19"/>
        </w:rPr>
        <w:t xml:space="preserve">2.2 PROTOCOLO 2 – CALIBRACIÓN</w:t>
      </w:r>
      <w:r>
        <w:rPr>
          <w:sz w:val="19"/>
        </w:rPr>
        <w:tab/>
        <w:t>5</w:t>
      </w:r>
    </w:p>
    <w:p>
      <w:pPr>
        <w:tabs>
          <w:tab w:val="right" w:leader="dot" w:pos="9638"/>
        </w:tabs>
        <w:spacing w:after="30"/>
        <w:ind w:left="425"/>
      </w:pPr>
      <w:r>
        <w:rPr>
          <w:sz w:val="19"/>
        </w:rPr>
        <w:t xml:space="preserve">2.3 PROTOCOLO 3 – OPERACIÓN DEL SOFTWARE ELCSOFT</w:t>
      </w:r>
      <w:r>
        <w:rPr>
          <w:sz w:val="19"/>
        </w:rPr>
        <w:tab/>
        <w:t>5</w:t>
      </w:r>
    </w:p>
    <w:p>
      <w:pPr>
        <w:tabs>
          <w:tab w:val="right" w:leader="dot" w:pos="9638"/>
        </w:tabs>
        <w:spacing w:after="30"/>
        <w:ind w:left="425"/>
      </w:pPr>
      <w:r>
        <w:rPr>
          <w:sz w:val="19"/>
        </w:rPr>
        <w:t xml:space="preserve">2.4 APÉNDICE – DETERMINACIÓN DE LA TENSIÓN POR ESPIRA</w:t>
      </w:r>
      <w:r>
        <w:rPr>
          <w:sz w:val="19"/>
        </w:rPr>
        <w:tab/>
        <w:t>10</w:t>
      </w:r>
    </w:p>
    <w:p>
      <w:pPr>
        <w:tabs>
          <w:tab w:val="right" w:leader="dot" w:pos="9638"/>
        </w:tabs>
        <w:spacing w:after="60"/>
        <w:ind w:left="0"/>
      </w:pPr>
      <w:r>
        <w:rPr>
          <w:b/>
          <w:sz w:val="20"/>
        </w:rPr>
        <w:t xml:space="preserve">3. REGISTROS</w:t>
      </w:r>
      <w:r>
        <w:rPr>
          <w:sz w:val="19"/>
        </w:rPr>
        <w:tab/>
        <w:t>11</w:t>
      </w:r>
      <w:r>
        <w:fldChar w:fldCharType="end"/>
      </w:r>
    </w:p>
    <w:p>
      <w:r>
        <w:br w:type="page"/>
      </w:r>
    </w:p>
    <w:p>
      <w:pPr>
        <w:pStyle w:val="Heading1"/>
        <w:keepNext/>
        <w:spacing w:after="140" w:before="280"/>
      </w:pPr>
      <w:r>
        <w:t xml:space="preserve">1. DEFINICIONES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Término</w:t>
            </w:r>
          </w:p>
        </w:tc>
        <w:tc>
          <w:tcPr>
            <w:tcW w:type="dxa" w:w="79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CID</w:t>
            </w:r>
          </w:p>
        </w:tc>
        <w:tc>
          <w:tcPr>
            <w:tcW w:type="dxa" w:w="79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Electromagnetic Core Imperfection Detection. Ensayo de la aislación interlaminar del núcleo estatórico mediante magnetización débil (≈ 4 % del flujo nominal).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Iq</w:t>
            </w:r>
          </w:p>
        </w:tc>
        <w:tc>
          <w:tcPr>
            <w:tcW w:type="dxa" w:w="79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Componente en cuadratura de la corriente de falla, medida por el captor [mA].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Captor</w:t>
            </w:r>
          </w:p>
        </w:tc>
        <w:tc>
          <w:tcPr>
            <w:tcW w:type="dxa" w:w="79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Sensor magnético (bobina Chattock) de dos bobinas captoras que mide la corriente de falla.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Espira auxiliar</w:t>
            </w:r>
          </w:p>
        </w:tc>
        <w:tc>
          <w:tcPr>
            <w:tcW w:type="dxa" w:w="79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Conductor fijo en una ranura que permite medir la tensión por espira y generar la corriente de falla de calibración.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KF</w:t>
            </w:r>
          </w:p>
        </w:tc>
        <w:tc>
          <w:tcPr>
            <w:tcW w:type="dxa" w:w="79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Constante de calibración del captor (constante de sensor Iq) en el software.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Variac</w:t>
            </w:r>
          </w:p>
        </w:tc>
        <w:tc>
          <w:tcPr>
            <w:tcW w:type="dxa" w:w="79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Fuente de CA de tensión variable que alimenta el arrollamiento de excitación.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ELCSoft</w:t>
            </w:r>
          </w:p>
        </w:tc>
        <w:tc>
          <w:tcPr>
            <w:tcW w:type="dxa" w:w="79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Software de adquisición y visualización del ensayo EL CID (versión 1.0).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DAQ</w:t>
            </w:r>
          </w:p>
        </w:tc>
        <w:tc>
          <w:tcPr>
            <w:tcW w:type="dxa" w:w="79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Unidad de adquisición de datos.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Vl, Tph, K</w:t>
            </w:r>
          </w:p>
        </w:tc>
        <w:tc>
          <w:tcPr>
            <w:tcW w:type="dxa" w:w="79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Tensión de línea nominal, número de espiras en serie por fase y factor de bobinado (paso × distribución) del generador.</w:t>
            </w:r>
          </w:p>
        </w:tc>
      </w:tr>
    </w:tbl>
    <w:p>
      <w:pPr>
        <w:pStyle w:val="Heading1"/>
        <w:keepNext/>
        <w:spacing w:after="140" w:before="280"/>
      </w:pPr>
      <w:r>
        <w:t xml:space="preserve">2. CONTENIDO</w:t>
      </w:r>
    </w:p>
    <w:p>
      <w:pPr>
        <w:spacing w:after="100" w:line="264"/>
        <w:jc w:val="both"/>
      </w:pPr>
      <w:r>
        <w:t xml:space="preserve">Este anexo contiene los tres protocolos que se invocan desde 00503-00-EPG001: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38"/>
        <w:gridCol w:w="2800"/>
      </w:tblGrid>
      <w:tr>
        <w:trPr>
          <w:cantSplit/>
          <w:tblHeader/>
        </w:trPr>
        <w:tc>
          <w:tcPr>
            <w:tcW w:type="dxa" w:w="26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Protocolo</w:t>
            </w:r>
          </w:p>
        </w:tc>
        <w:tc>
          <w:tcPr>
            <w:tcW w:type="dxa" w:w="42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  <w:tc>
          <w:tcPr>
            <w:tcW w:type="dxa" w:w="28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Invocado en 00503-00-EPG001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Protocolo 1 – Excitación del núcleo</w:t>
            </w:r>
          </w:p>
        </w:tc>
        <w:tc>
          <w:tcPr>
            <w:tcW w:type="dxa" w:w="42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Equipo, puesta a tierra, cálculo y montaje del arrollamiento de excitación y espira auxiliar.</w:t>
            </w:r>
          </w:p>
        </w:tc>
        <w:tc>
          <w:tcPr>
            <w:tcW w:type="dxa" w:w="28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Apartados 2.5, 2.6, 2.7, 2.8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Protocolo 2 – Calibración</w:t>
            </w:r>
          </w:p>
        </w:tc>
        <w:tc>
          <w:tcPr>
            <w:tcW w:type="dxa" w:w="42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Tensión por espira, corriente de falla controlada y constante KF.</w:t>
            </w:r>
          </w:p>
        </w:tc>
        <w:tc>
          <w:tcPr>
            <w:tcW w:type="dxa" w:w="28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Apartados 2.6, 2.9, 2.10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Protocolo 3 – Software ELCSoft</w:t>
            </w:r>
          </w:p>
        </w:tc>
        <w:tc>
          <w:tcPr>
            <w:tcW w:type="dxa" w:w="42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Parámetros, registro de ranuras, visualización y archivos.</w:t>
            </w:r>
          </w:p>
        </w:tc>
        <w:tc>
          <w:tcPr>
            <w:tcW w:type="dxa" w:w="28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Apartados 2.8, 2.10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2.1 PROTOCOLO 1 – EXCITACIÓN DEL NÚCLEO</w:t>
      </w:r>
    </w:p>
    <w:p>
      <w:pPr>
        <w:spacing w:after="100" w:line="264"/>
        <w:jc w:val="both"/>
      </w:pPr>
      <w:r>
        <w:t xml:space="preserve">Guía para la magnetización débil del núcleo estatórico a ensayar.</w:t>
      </w:r>
    </w:p>
    <w:p>
      <w:pPr>
        <w:pStyle w:val="Heading3"/>
        <w:keepNext/>
        <w:spacing w:after="80" w:before="160"/>
      </w:pPr>
      <w:r>
        <w:t xml:space="preserve">2.1.1 Características técnicas del equipo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/>
        </w:trPr>
        <w:tc>
          <w:tcPr>
            <w:tcW w:type="dxa" w:w="42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54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Alimentación eléctrica</w:t>
            </w:r>
          </w:p>
        </w:tc>
        <w:tc>
          <w:tcPr>
            <w:tcW w:type="dxa" w:w="54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 110/220 V, 50/60 Hz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Corriente máxima de excitación</w:t>
            </w:r>
          </w:p>
        </w:tc>
        <w:tc>
          <w:tcPr>
            <w:tcW w:type="dxa" w:w="54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Hasta 50 A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Entrada de posición axial</w:t>
            </w:r>
          </w:p>
        </w:tc>
        <w:tc>
          <w:tcPr>
            <w:tcW w:type="dxa" w:w="54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Analógica 0 – 10 V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Entrada de captor</w:t>
            </w:r>
          </w:p>
        </w:tc>
        <w:tc>
          <w:tcPr>
            <w:tcW w:type="dxa" w:w="54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Analógica, conector dedicado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Puesta a tierra</w:t>
            </w:r>
          </w:p>
        </w:tc>
        <w:tc>
          <w:tcPr>
            <w:tcW w:type="dxa" w:w="54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Borne «Ground»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DAQ – interfaz de comunicación</w:t>
            </w:r>
          </w:p>
        </w:tc>
        <w:tc>
          <w:tcPr>
            <w:tcW w:type="dxa" w:w="54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USB 2.0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DAQ – temperatura de operación / almacenamiento</w:t>
            </w:r>
          </w:p>
        </w:tc>
        <w:tc>
          <w:tcPr>
            <w:tcW w:type="dxa" w:w="54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 °C a 50 °C / –20 °C a 70 °C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DAQ – humedad relativa</w:t>
            </w:r>
          </w:p>
        </w:tc>
        <w:tc>
          <w:tcPr>
            <w:tcW w:type="dxa" w:w="54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10 % a 90 % sin condensación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DAQ – altitud máxima de operación</w:t>
            </w:r>
          </w:p>
        </w:tc>
        <w:tc>
          <w:tcPr>
            <w:tcW w:type="dxa" w:w="54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2000 m s. n. m.</w:t>
            </w:r>
          </w:p>
        </w:tc>
      </w:tr>
    </w:tbl>
    <w:p>
      <w:pPr>
        <w:pStyle w:val="Heading3"/>
        <w:keepNext/>
        <w:spacing w:after="80" w:before="160"/>
      </w:pPr>
      <w:r>
        <w:t xml:space="preserve">2.1.2 Puesta a tierra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6C0A" w:sz="4"/>
              <w:left w:val="single" w:color="E36C0A" w:sz="24"/>
              <w:bottom w:val="single" w:color="E36C0A" w:sz="4"/>
              <w:right w:val="single" w:color="E36C0A" w:sz="4"/>
            </w:tcBorders>
            <w:shd w:fill="FD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4"/>
              <w:jc w:val="both"/>
            </w:pPr>
            <w:r>
              <w:rPr>
                <w:b/>
                <w:bCs/>
                <w:color w:val="E36C0A"/>
              </w:rPr>
              <w:t xml:space="preserve">Precaución: </w:t>
            </w:r>
            <w:r>
              <w:t xml:space="preserve">la puesta a tierra se realiza en forma local desde el estator de la máquina y se distribuye radialmente hacia cada equipo del ensayo. El borne «Ground» del tablero EL CID es su única vinculación a tierra: no se admite ninguna otra conexión paralela o secundaria. Esta disposición evita lazos de corriente que inducen señales espurias y ponen en riesgo los equipos conectados.</w:t>
            </w:r>
          </w:p>
        </w:tc>
      </w:tr>
    </w:tbl>
    <w:p>
      <w:pPr>
        <w:pStyle w:val="Heading3"/>
        <w:keepNext/>
        <w:spacing w:after="80" w:before="160"/>
      </w:pPr>
      <w:r>
        <w:t xml:space="preserve">2.1.3 Cálculo del número de espiras</w:t>
      </w:r>
    </w:p>
    <w:p>
      <w:pPr>
        <w:spacing w:after="100" w:line="264"/>
        <w:jc w:val="both"/>
      </w:pPr>
      <w:r>
        <w:t xml:space="preserve">El número de espiras se determina a partir de la tensión por espira calculada según el apartado 2.4 (Apéndice), considerando que: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La tensión aplicada no supere la capacidad nominal del Variac.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La corriente de excitación resultante quede dentro del rango operativo recomendado: </w:t>
      </w:r>
      <w:r>
        <w:rPr>
          <w:b/>
          <w:bCs/>
        </w:rPr>
        <w:t xml:space="preserve">5 A a 40 A</w:t>
      </w:r>
      <w:r>
        <w:t xml:space="preserve">.</w:t>
      </w:r>
    </w:p>
    <w:p>
      <w:pPr>
        <w:pStyle w:val="Heading3"/>
        <w:keepNext/>
        <w:spacing w:after="80" w:before="160"/>
      </w:pPr>
      <w:r>
        <w:t xml:space="preserve">2.1.4 Selección de la sección del conductor</w:t>
      </w:r>
    </w:p>
    <w:p>
      <w:pPr>
        <w:spacing w:after="100" w:line="264"/>
        <w:jc w:val="both"/>
      </w:pPr>
      <w:r>
        <w:t xml:space="preserve">La sección del conductor debe admitir la corriente de ensayo sin sobrecalentamiento. Un conductor sobrecalentado aumenta su resistencia, reduce la corriente de excitación y obliga a recalibrar y a corregir permanentemente la tensión aplicada para mantener constante la tensión por espira.</w:t>
      </w:r>
    </w:p>
    <w:p>
      <w:pPr>
        <w:pStyle w:val="Heading3"/>
        <w:keepNext/>
        <w:spacing w:after="80" w:before="160"/>
      </w:pPr>
      <w:r>
        <w:t xml:space="preserve">2.1.5 Montaje con rotor desmontado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Fijar el arrollamiento en forma concéntrica respecto del eje del núcleo, cubriendo toda su longitud axial.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En los extremos del núcleo, utilizar un radio de curvatura amplio para evitar efectos de borde.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Agrupar en forma compacta el tramo del arrollamiento dispuesto a lo largo del eje.</w:t>
      </w:r>
    </w:p>
    <w:p>
      <w:pPr>
        <w:pStyle w:val="Heading3"/>
        <w:keepNext/>
        <w:spacing w:after="80" w:before="160"/>
      </w:pPr>
      <w:r>
        <w:t xml:space="preserve">2.1.6 Montaje con rotor colocado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Aislar eléctricamente el rotor de su apoyo, al menos en uno de sus extremos, para que no forme una espira de falla con el núcleo y el arrollamiento de excitación.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Ubicar el arrollamiento lateralmente al núcleo, en la medida de lo posible.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Desplazar el arrollamiento a medida que avanza el ensayo, para evitar que el captor quede próximo al conductor de excitación (el acoplamiento directo produce lecturas erróneas).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6D8289" w:sz="4"/>
              <w:left w:val="single" w:color="6D8289" w:sz="24"/>
              <w:bottom w:val="single" w:color="6D8289" w:sz="4"/>
              <w:right w:val="single" w:color="6D8289" w:sz="4"/>
            </w:tcBorders>
            <w:shd w:fill="EEF2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4"/>
              <w:jc w:val="both"/>
            </w:pPr>
            <w:r>
              <w:rPr>
                <w:b/>
                <w:bCs/>
                <w:color w:val="6D8289"/>
              </w:rPr>
              <w:t xml:space="preserve">Inspección GRIS: </w:t>
            </w:r>
            <w:r>
              <w:t xml:space="preserve">la ubicación inicial y la reubicación del arrollamiento cada 120° se realizan según 00503-00-EPG001, apartados 2.7 (montaje de la excitación) y 2.10 (inspección por ranura).</w:t>
            </w:r>
          </w:p>
        </w:tc>
      </w:tr>
    </w:tbl>
    <w:p>
      <w:pPr>
        <w:pStyle w:val="Heading3"/>
        <w:keepNext/>
        <w:spacing w:after="80" w:before="160"/>
      </w:pPr>
      <w:r>
        <w:t xml:space="preserve">2.1.7 Montaje de la espira auxiliar</w:t>
      </w:r>
    </w:p>
    <w:p>
      <w:pPr>
        <w:spacing w:after="100" w:line="264"/>
        <w:jc w:val="both"/>
      </w:pPr>
      <w:r>
        <w:t xml:space="preserve">La espira auxiliar permite medir la tensión por espira durante todo el ensayo y generar la corriente de falla controlada de calibración (Protocolo 2). Se aloja dentro de una ranura del estator, en una posición fija y representativa.</w:t>
      </w:r>
    </w:p>
    <w:p>
      <w:pPr>
        <w:spacing w:after="100" w:line="264"/>
        <w:jc w:val="both"/>
      </w:pPr>
      <w:r>
        <w:t xml:space="preserve">Dado que la corriente de calibración es baja (100 mA a 200 mA) y que la espira no conduce corriente en forma permanente, se recomienda un conductor de </w:t>
      </w:r>
      <w:r>
        <w:rPr>
          <w:b/>
          <w:bCs/>
        </w:rPr>
        <w:t xml:space="preserve">1,5 mm²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6C0A" w:sz="4"/>
              <w:left w:val="single" w:color="E36C0A" w:sz="24"/>
              <w:bottom w:val="single" w:color="E36C0A" w:sz="4"/>
              <w:right w:val="single" w:color="E36C0A" w:sz="4"/>
            </w:tcBorders>
            <w:shd w:fill="FD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4"/>
              <w:jc w:val="both"/>
            </w:pPr>
            <w:r>
              <w:rPr>
                <w:b/>
                <w:bCs/>
                <w:color w:val="E36C0A"/>
              </w:rPr>
              <w:t xml:space="preserve">Precaución: </w:t>
            </w:r>
            <w:r>
              <w:t xml:space="preserve">verificar que la espira auxiliar no quede en cortocircuito en ningún momento del ensayo. Un cortocircuito provocaría una corriente elevada y no controlada, con riesgo para el equipo, el sensor y la validez del ensayo.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2.2 PROTOCOLO 2 – CALIBRACIÓN</w:t>
      </w:r>
    </w:p>
    <w:p>
      <w:pPr>
        <w:spacing w:after="100" w:line="264"/>
        <w:jc w:val="both"/>
      </w:pPr>
      <w:r>
        <w:t xml:space="preserve">Establece la correspondencia entre la señal medida por el captor y una corriente de falla conocida, a partir de la configuración de referencia de la Figura 1. La puesta a tierra se realiza según 2.1.2.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390775"/>
            <wp:effectExtent t="0" r="0" b="0" l="0"/>
            <wp:docPr id="1" name="fig_calibracion.png" descr="Figura 1: Configuración de referencia para la calibración del ensayo EL CID" title="Figura 1: Configuración de referencia para la calibración del ensayo EL C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D8289"/>
          <w:sz w:val="18"/>
          <w:szCs w:val="18"/>
        </w:rPr>
        <w:t xml:space="preserve">Figura 1: Configuración de referencia para la calibración del ensayo EL CID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b/>
          <w:bCs/>
        </w:rPr>
        <w:t xml:space="preserve">Preparación.</w:t>
      </w:r>
      <w:r>
        <w:t xml:space="preserve"> Verificar que el arrollamiento de excitación (número de espiras calculado) y la espira auxiliar estén montados según el Protocolo 1.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b/>
          <w:bCs/>
        </w:rPr>
        <w:t xml:space="preserve">Ausencia de espiras parásitas.</w:t>
      </w:r>
      <w:r>
        <w:t xml:space="preserve"> Antes de energizar, retirar o reubicar todo elemento conductor que forme un lazo cerrado alrededor del núcleo: cintas pasacables metálicas, alambres o cables sueltos, herramientas, fijaciones o elementos estructurales transversales al flujo. Estos lazos inducen corrientes espurias que simulan fallas inexistentes.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b/>
          <w:bCs/>
        </w:rPr>
        <w:t xml:space="preserve">Tensión por espira.</w:t>
      </w:r>
      <w:r>
        <w:t xml:space="preserve"> Alimentar el arrollamiento con el Variac y ajustar la tensión hasta que la tensión medida en la espira auxiliar sea igual al valor teórico calculado (apartado 2.4).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b/>
          <w:bCs/>
        </w:rPr>
        <w:t xml:space="preserve">Corriente de falla.</w:t>
      </w:r>
      <w:r>
        <w:t xml:space="preserve"> Con la espira auxiliar firmemente alojada en su ranura, conectar en serie una resistencia de calibración de valor tal que circule una corriente de </w:t>
      </w:r>
      <w:r>
        <w:rPr>
          <w:b/>
          <w:bCs/>
        </w:rPr>
        <w:t xml:space="preserve">100 mA a 200 mA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b/>
          <w:bCs/>
        </w:rPr>
        <w:t xml:space="preserve">Posicionamiento del captor.</w:t>
      </w:r>
      <w:r>
        <w:t xml:space="preserve"> Alinear el eje central entre las dos bobinas captoras con el centro de la ranura de la espira auxiliar, a una distancia del borde del núcleo de aproximadamente </w:t>
      </w:r>
      <w:r>
        <w:rPr>
          <w:b/>
          <w:bCs/>
        </w:rPr>
        <w:t xml:space="preserve">¼ de la longitud total del núcleo</w:t>
      </w:r>
      <w:r>
        <w:t xml:space="preserve">, para minimizar los efectos de borde.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b/>
          <w:bCs/>
        </w:rPr>
        <w:t xml:space="preserve">Constante KF.</w:t>
      </w:r>
      <w:r>
        <w:t xml:space="preserve"> En ELCSoft, ajustar KF hasta que la lectura coincida con la corriente de falla establecida.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b/>
          <w:bCs/>
        </w:rPr>
        <w:t xml:space="preserve">Finalización.</w:t>
      </w:r>
      <w:r>
        <w:t xml:space="preserve"> Abrir el circuito de la espira auxiliar y confirmar que la tensión en ella sea igual a la tensión por espira calculada. Registrar los valores en el registro de calibración.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6D8289" w:sz="4"/>
              <w:left w:val="single" w:color="6D8289" w:sz="24"/>
              <w:bottom w:val="single" w:color="6D8289" w:sz="4"/>
              <w:right w:val="single" w:color="6D8289" w:sz="4"/>
            </w:tcBorders>
            <w:shd w:fill="EEF2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4"/>
              <w:jc w:val="both"/>
            </w:pPr>
            <w:r>
              <w:rPr>
                <w:b/>
                <w:bCs/>
                <w:color w:val="6D8289"/>
              </w:rPr>
              <w:t xml:space="preserve">Durante el ensayo: </w:t>
            </w:r>
            <w:r>
              <w:t xml:space="preserve">monitorear continuamente la tensión por espira y corregirla cuando sea necesario para mantenerla constante.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2.3 PROTOCOLO 3 – OPERACIÓN DEL SOFTWARE ELCSOFT</w:t>
      </w:r>
    </w:p>
    <w:p>
      <w:pPr>
        <w:spacing w:after="100" w:line="264"/>
        <w:jc w:val="both"/>
      </w:pPr>
      <w:r>
        <w:t xml:space="preserve">ELCSoft 1.0 es el software de adquisición del ensayo EL CID. Permite iniciar ensayos, continuar ensayos incompletos y visualizar los resultados en forma gráfica.</w:t>
      </w:r>
    </w:p>
    <w:p>
      <w:pPr>
        <w:pStyle w:val="Heading3"/>
        <w:keepNext/>
        <w:spacing w:after="80" w:before="160"/>
      </w:pPr>
      <w:r>
        <w:t xml:space="preserve">2.3.1 Menú principal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38725" cy="2419350"/>
            <wp:effectExtent t="0" r="0" b="0" l="0"/>
            <wp:docPr id="1" name="fig_menu_principal.png" descr="Figura 2: Menú principal de ELCSoft" title="Figura 2: Menú principal de ELCSo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D8289"/>
          <w:sz w:val="18"/>
          <w:szCs w:val="18"/>
        </w:rPr>
        <w:t xml:space="preserve">Figura 2: Menú principal de ELCSoft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Opción</w:t>
            </w:r>
          </w:p>
        </w:tc>
        <w:tc>
          <w:tcPr>
            <w:tcW w:type="dxa" w:w="70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Iniciar nuevo ensayo</w:t>
            </w:r>
          </w:p>
        </w:tc>
        <w:tc>
          <w:tcPr>
            <w:tcW w:type="dxa" w:w="70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Comienza un nuevo ensayo. Requiere completar los datos de la máquina, del ensayo y la configuración del hardware (2.3.2).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Continuar un ensayo</w:t>
            </w:r>
          </w:p>
        </w:tc>
        <w:tc>
          <w:tcPr>
            <w:tcW w:type="dxa" w:w="70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Retoma un ensayo interrumpido. Se carga el archivo principal (.csv); el programa detecta las ranuras registradas y continúa en la siguiente.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Abrir gráficos 2D</w:t>
            </w:r>
          </w:p>
        </w:tc>
        <w:tc>
          <w:tcPr>
            <w:tcW w:type="dxa" w:w="70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Muestra Iq [mA] en función de la posición axial, por ranura (2.3.5).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Abrir gráficos 3D</w:t>
            </w:r>
          </w:p>
        </w:tc>
        <w:tc>
          <w:tcPr>
            <w:tcW w:type="dxa" w:w="70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Muestra el mapa completo: posición axial, número de ranura y magnitud de Iq (2.3.5).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Parámetros</w:t>
            </w:r>
          </w:p>
        </w:tc>
        <w:tc>
          <w:tcPr>
            <w:tcW w:type="dxa" w:w="70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Permite prefijar los mismos datos requeridos al iniciar un ensayo.</w:t>
            </w:r>
          </w:p>
        </w:tc>
      </w:tr>
    </w:tbl>
    <w:p>
      <w:pPr>
        <w:pStyle w:val="Heading3"/>
        <w:keepNext/>
        <w:spacing w:after="80" w:before="160"/>
      </w:pPr>
      <w:r>
        <w:t xml:space="preserve">2.3.2 Parámetros del ensayo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38725" cy="2505075"/>
            <wp:effectExtent t="0" r="0" b="0" l="0"/>
            <wp:docPr id="1" name="fig_parametros.png" descr="Figura 3: Menú de parámetros" title="Figura 3: Menú de parámet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D8289"/>
          <w:sz w:val="18"/>
          <w:szCs w:val="18"/>
        </w:rPr>
        <w:t xml:space="preserve">Figura 3: Menú de parámetros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cantSplit/>
          <w:tblHeader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Grupo / parámetro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F7F9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E36C0A"/>
                <w:sz w:val="19"/>
                <w:szCs w:val="19"/>
              </w:rPr>
              <w:t xml:space="preserve">Datos generales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Datos de la máquina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Identificación, tipo de rotor, potencia, tensión y velocidad nominales, longitud activa y diámetro interno del estator, número de polos y de ranuras.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Datos del ensayo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Responsable del ensayo, ubicación y nombre de la central.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F7F9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E36C0A"/>
                <w:sz w:val="19"/>
                <w:szCs w:val="19"/>
              </w:rPr>
              <w:t xml:space="preserve">Configuración del hardware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Placa DAQ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Selección de la placa de adquisición (por defecto DEV1).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Ranura inicial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Permite comenzar el barrido en una ranura distinta de la primera (registros parciales, zonas sospechosas o sectores intervenidos). La numeración avanza luego de a una unidad, en forma creciente.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Frecuencia de ensayo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50 o 60 Hz. Debe coincidir con la frecuencia de la fuente de excitación; un valor incorrecto distorsiona la medición de Iq.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Paso de registro [mm]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Distancia axial entre puntos de registro de Iq. Mínimo 1 mm.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Offset axial de bobinas [mm]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Distancia desde el borde inicial del núcleo hasta el centro de las bobinas captoras. Valor ≥ 0.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Constante de posición [mm/V]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Convierte la señal analógica del sensor de posición axial en desplazamiento.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Constante de sensor Iq (KF)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Constante adimensional del captor, determinada según el Protocolo 2.</w:t>
            </w:r>
          </w:p>
        </w:tc>
      </w:tr>
    </w:tbl>
    <w:p>
      <w:pPr>
        <w:pStyle w:val="Heading3"/>
        <w:keepNext/>
        <w:spacing w:after="80" w:before="160"/>
      </w:pPr>
      <w:r>
        <w:t xml:space="preserve">2.3.3 Pantalla de adquisición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00675" cy="2600325"/>
            <wp:effectExtent t="0" r="0" b="0" l="0"/>
            <wp:docPr id="1" name="fig_adquisicion.png" descr="Figura 4: Pantalla de adquisición de datos – registro de ranura" title="Figura 4: Pantalla de adquisición de datos – registro de ran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D8289"/>
          <w:sz w:val="18"/>
          <w:szCs w:val="18"/>
        </w:rPr>
        <w:t xml:space="preserve">Figura 4: Pantalla de adquisición de datos – registro de ranura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cantSplit/>
          <w:tblHeader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F7F9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E36C0A"/>
                <w:sz w:val="19"/>
                <w:szCs w:val="19"/>
              </w:rPr>
              <w:t xml:space="preserve">Visualización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Gráfico superior derecho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 en tiempo real de Iq en función de la posición axial de la ranura en curso.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Semáforo de estado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Verde: valor normal. Amarillo: advertencia. Rojo: por encima del umbral crítico.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Gráfico inferior derecho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 de la ranura anterior, como referencia de comparación.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Gráfico superior izquierdo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Mapa de color de Iq por ranura (vertical) y posición axial (horizontal); se actualiza con cada ranura.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Valores numéricos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Delta (ángulo entre flujo e Iq), Flujo (señal del captor), Iq, Pos (posición axial en mm) y Ranura.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Indicador ON/OFF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Verde (ON): registrando. Rojo (OFF): registro inactivo.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F7F9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E36C0A"/>
                <w:sz w:val="19"/>
                <w:szCs w:val="19"/>
              </w:rPr>
              <w:t xml:space="preserve">Configuración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Umbrales rojo, naranja y amarillo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Límites de Iq para las alertas visuales.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Dial Iq-range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Escala vertical de los gráficos 2D.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KF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Constante de calibración (Protocolo 2).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 Encoder / Pos-cero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Señal de posición axial y referencia de cero.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F7F9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E36C0A"/>
                <w:sz w:val="19"/>
                <w:szCs w:val="19"/>
              </w:rPr>
              <w:t xml:space="preserve">Botones de control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Posición Cero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Fija la posición axial cero; se realiza antes de cada ranura. Al valor se suma el offset axial configurado.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Iniciar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Comienza la adquisición de la ranura actual.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Descartar ranura actual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Elimina la pasada en curso ante errores o interferencias.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Guardar ranura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Almacena en forma definitiva los datos de la ranura.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Volver al Menú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Regresa al menú principal.</w:t>
            </w:r>
          </w:p>
        </w:tc>
      </w:tr>
    </w:tbl>
    <w:p>
      <w:pPr>
        <w:pStyle w:val="Heading3"/>
        <w:keepNext/>
        <w:spacing w:after="80" w:before="160"/>
      </w:pPr>
      <w:r>
        <w:t xml:space="preserve">2.3.4 Secuencia de registro</w:t>
      </w:r>
    </w:p>
    <w:p>
      <w:pPr>
        <w:keepNext/>
        <w:spacing w:after="100" w:line="264"/>
        <w:jc w:val="both"/>
      </w:pPr>
      <w:r>
        <w:t xml:space="preserve">Con la calibración finalizada y KF definida, ubicar el robot en la posición axial cero sobre la ranura inicial:</w:t>
      </w:r>
    </w:p>
    <w:p>
      <w:pPr>
        <w:pStyle w:val="ListParagraph"/>
        <w:numPr>
          <w:ilvl w:val="0"/>
          <w:numId w:val="4"/>
        </w:numPr>
        <w:spacing w:after="60" w:line="264"/>
        <w:jc w:val="both"/>
      </w:pPr>
      <w:r>
        <w:t xml:space="preserve">Presionar </w:t>
      </w:r>
      <w:r>
        <w:rPr>
          <w:b/>
          <w:bCs/>
        </w:rPr>
        <w:t xml:space="preserve">Posición Cero</w:t>
      </w:r>
      <w:r>
        <w:t xml:space="preserve"> para fijar la referencia respecto del borde del núcleo.</w:t>
      </w:r>
    </w:p>
    <w:p>
      <w:pPr>
        <w:pStyle w:val="ListParagraph"/>
        <w:numPr>
          <w:ilvl w:val="0"/>
          <w:numId w:val="4"/>
        </w:numPr>
        <w:spacing w:after="60" w:line="264"/>
        <w:jc w:val="both"/>
      </w:pPr>
      <w:r>
        <w:t xml:space="preserve">Presionar </w:t>
      </w:r>
      <w:r>
        <w:rPr>
          <w:b/>
          <w:bCs/>
        </w:rPr>
        <w:t xml:space="preserve">Iniciar</w:t>
      </w:r>
      <w:r>
        <w:t xml:space="preserve">; el indicador pasa a verde (ON).</w:t>
      </w:r>
    </w:p>
    <w:p>
      <w:pPr>
        <w:pStyle w:val="ListParagraph"/>
        <w:numPr>
          <w:ilvl w:val="0"/>
          <w:numId w:val="4"/>
        </w:numPr>
        <w:spacing w:after="60" w:line="264"/>
        <w:jc w:val="both"/>
      </w:pPr>
      <w:r>
        <w:t xml:space="preserve">Avanzar el robot en sentido creciente de posición axial hasta completar la ranura.</w:t>
      </w:r>
    </w:p>
    <w:p>
      <w:pPr>
        <w:pStyle w:val="ListParagraph"/>
        <w:numPr>
          <w:ilvl w:val="0"/>
          <w:numId w:val="4"/>
        </w:numPr>
        <w:spacing w:after="60" w:line="264"/>
        <w:jc w:val="both"/>
      </w:pPr>
      <w:r>
        <w:t xml:space="preserve">Ante cualquier problema, presionar </w:t>
      </w:r>
      <w:r>
        <w:rPr>
          <w:b/>
          <w:bCs/>
        </w:rPr>
        <w:t xml:space="preserve">Descartar ranura actual</w:t>
      </w:r>
      <w:r>
        <w:t xml:space="preserve"> y repetir la pasada.</w:t>
      </w:r>
    </w:p>
    <w:p>
      <w:pPr>
        <w:pStyle w:val="ListParagraph"/>
        <w:numPr>
          <w:ilvl w:val="0"/>
          <w:numId w:val="4"/>
        </w:numPr>
        <w:spacing w:after="60" w:line="264"/>
        <w:jc w:val="both"/>
      </w:pPr>
      <w:r>
        <w:t xml:space="preserve">Al finalizar, presionar </w:t>
      </w:r>
      <w:r>
        <w:rPr>
          <w:b/>
          <w:bCs/>
        </w:rPr>
        <w:t xml:space="preserve">Guardar ranura</w:t>
      </w:r>
      <w:r>
        <w:t xml:space="preserve">; el registro se detiene y el indicador vuelve a rojo (OFF).</w:t>
      </w:r>
    </w:p>
    <w:p>
      <w:pPr>
        <w:pStyle w:val="ListParagraph"/>
        <w:numPr>
          <w:ilvl w:val="0"/>
          <w:numId w:val="4"/>
        </w:numPr>
        <w:spacing w:after="60" w:line="264"/>
        <w:jc w:val="both"/>
      </w:pPr>
      <w:r>
        <w:t xml:space="preserve">Posicionar el robot en la ranura siguiente y repetir hasta completar las ranuras previstas.</w:t>
      </w:r>
    </w:p>
    <w:p>
      <w:pPr>
        <w:pStyle w:val="ListParagraph"/>
        <w:numPr>
          <w:ilvl w:val="0"/>
          <w:numId w:val="4"/>
        </w:numPr>
        <w:spacing w:after="60" w:line="264"/>
        <w:jc w:val="both"/>
      </w:pPr>
      <w:r>
        <w:t xml:space="preserve">Al completar la última ranura, presionar </w:t>
      </w:r>
      <w:r>
        <w:rPr>
          <w:b/>
          <w:bCs/>
        </w:rPr>
        <w:t xml:space="preserve">Volver al Menú</w:t>
      </w:r>
      <w:r>
        <w:t xml:space="preserve">.</w:t>
      </w:r>
    </w:p>
    <w:p>
      <w:pPr>
        <w:pStyle w:val="Heading3"/>
        <w:keepNext/>
        <w:spacing w:after="80" w:before="160"/>
      </w:pPr>
      <w:r>
        <w:t xml:space="preserve">2.3.5 Visualización de resultados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00675" cy="2800350"/>
            <wp:effectExtent t="0" r="0" b="0" l="0"/>
            <wp:docPr id="1" name="fig_graficos_2d.png" descr="Figura 5: Visualización de gráficos 2D" title="Figura 5: Visualización de gráficos 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D8289"/>
          <w:sz w:val="18"/>
          <w:szCs w:val="18"/>
        </w:rPr>
        <w:t xml:space="preserve">Figura 5: Visualización de gráficos 2D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Mapa 2D (izquierda):</w:t>
      </w:r>
      <w:r>
        <w:t xml:space="preserve"> cada línea es una ranura; el color indica la intensidad relativa de Iq según los umbrales ingresados.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Gráficos por ranura (derecha):</w:t>
      </w:r>
      <w:r>
        <w:t xml:space="preserve"> Iq [mA] en función de la posición [mm], con número de ranura, Iq máxima e indicador de condición: verde (normal), amarillo (precaución), rojo (posible defecto).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Controles:</w:t>
      </w:r>
      <w:r>
        <w:t xml:space="preserve"> Amp2D (amplitud del mapa 2D), Up / Down / X5 (grupo de ranuras visualizado), Archivo (abrir otro registro) y Volver al Menú.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00675" cy="2800350"/>
            <wp:effectExtent t="0" r="0" b="0" l="0"/>
            <wp:docPr id="1" name="fig_graficos_3d.png" descr="Figura 6: Visualización de gráficos 3D" title="Figura 6: Visualización de gráficos 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D8289"/>
          <w:sz w:val="18"/>
          <w:szCs w:val="18"/>
        </w:rPr>
        <w:t xml:space="preserve">Figura 6: Visualización de gráficos 3D</w:t>
      </w:r>
    </w:p>
    <w:p>
      <w:pPr>
        <w:spacing w:after="100" w:line="264"/>
        <w:jc w:val="both"/>
      </w:pPr>
      <w:r>
        <w:t xml:space="preserve">El gráfico 3D (posición axial, número de ranura y magnitud de Iq) brinda una visión global del núcleo y facilita la localización de zonas con posibles defectos mediante una paleta de colores por umbral.</w:t>
      </w:r>
    </w:p>
    <w:p>
      <w:pPr>
        <w:pStyle w:val="Heading3"/>
        <w:keepNext/>
        <w:spacing w:after="80" w:before="160"/>
      </w:pPr>
      <w:r>
        <w:t xml:space="preserve">2.3.6 Archivos generados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cantSplit/>
          <w:tblHeader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Archivo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Parámetros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 los parámetros del ensayo.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Sufijo Iq / Iqp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Datos matriciales para los gráficos 2D y 3D.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Sufijo reg</w:t>
            </w:r>
          </w:p>
        </w:tc>
        <w:tc>
          <w:tcPr>
            <w:tcW w:type="dxa" w:w="6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 completo en bruto; respaldo y análisis posterior.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2.4 APÉNDICE – DETERMINACIÓN DE LA TENSIÓN POR ESPIRA</w:t>
      </w:r>
    </w:p>
    <w:p>
      <w:pPr>
        <w:spacing w:after="100" w:line="264"/>
        <w:jc w:val="both"/>
      </w:pPr>
      <w:r>
        <w:t xml:space="preserve">Para un flujo sinusoidal Φ = Φm · sen(2πft) inducido en forma anular en el núcleo, la tensión inducida por espira (ley de Faraday) tiene un valor eficaz:</w:t>
      </w:r>
    </w:p>
    <w:p>
      <w:pPr>
        <w:tabs>
          <w:tab w:val="center" w:pos="4819"/>
          <w:tab w:val="right" w:pos="9638"/>
        </w:tabs>
        <w:spacing w:after="120" w:before="80"/>
        <w:jc w:val="left"/>
      </w:pPr>
      <w:r>
        <w:t xml:space="preserve">	</w:t>
      </w:r>
      <w:r>
        <w:rPr>
          <w:i/>
          <w:iCs/>
          <w:sz w:val="24"/>
          <w:szCs w:val="24"/>
        </w:rPr>
        <w:t xml:space="preserve">v</w:t>
      </w:r>
      <w:r>
        <w:rPr>
          <w:sz w:val="24"/>
          <w:szCs w:val="24"/>
          <w:vertAlign w:val="subscript"/>
        </w:rPr>
        <w:t xml:space="preserve">t</w:t>
      </w:r>
      <w:r>
        <w:rPr>
          <w:sz w:val="24"/>
          <w:szCs w:val="24"/>
        </w:rPr>
        <w:t xml:space="preserve"> = 2π · f · </w:t>
      </w:r>
      <w:r>
        <w:rPr>
          <w:i/>
          <w:iCs/>
          <w:sz w:val="24"/>
          <w:szCs w:val="24"/>
        </w:rPr>
        <w:t xml:space="preserve">Φ</w:t>
      </w:r>
      <w:r>
        <w:rPr>
          <w:sz w:val="24"/>
          <w:szCs w:val="24"/>
          <w:vertAlign w:val="subscript"/>
        </w:rPr>
        <w:t xml:space="preserve">m</w:t>
      </w:r>
      <w:r>
        <w:rPr>
          <w:sz w:val="24"/>
          <w:szCs w:val="24"/>
        </w:rPr>
        <w:t xml:space="preserve"> / √2</w:t>
      </w:r>
      <w:r>
        <w:rPr>
          <w:color w:val="6D8289"/>
        </w:rPr>
        <w:t xml:space="preserve">	(1)</w:t>
      </w:r>
    </w:p>
    <w:p>
      <w:pPr>
        <w:spacing w:after="100" w:line="264"/>
        <w:jc w:val="both"/>
      </w:pPr>
      <w:r>
        <w:t xml:space="preserve">Como el flujo por polo en el entrehierro, Φa, se divide en dos mitades en el yugo (Φm = Φa/2):</w:t>
      </w:r>
    </w:p>
    <w:p>
      <w:pPr>
        <w:tabs>
          <w:tab w:val="center" w:pos="4819"/>
          <w:tab w:val="right" w:pos="9638"/>
        </w:tabs>
        <w:spacing w:after="120" w:before="80"/>
        <w:jc w:val="left"/>
      </w:pPr>
      <w:r>
        <w:t xml:space="preserve">	</w:t>
      </w:r>
      <w:r>
        <w:rPr>
          <w:i/>
          <w:iCs/>
          <w:sz w:val="24"/>
          <w:szCs w:val="24"/>
        </w:rPr>
        <w:t xml:space="preserve">v</w:t>
      </w:r>
      <w:r>
        <w:rPr>
          <w:sz w:val="24"/>
          <w:szCs w:val="24"/>
          <w:vertAlign w:val="subscript"/>
        </w:rPr>
        <w:t xml:space="preserve">t</w:t>
      </w:r>
      <w:r>
        <w:rPr>
          <w:sz w:val="24"/>
          <w:szCs w:val="24"/>
        </w:rPr>
        <w:t xml:space="preserve"> = π · f · </w:t>
      </w:r>
      <w:r>
        <w:rPr>
          <w:i/>
          <w:iCs/>
          <w:sz w:val="24"/>
          <w:szCs w:val="24"/>
        </w:rPr>
        <w:t xml:space="preserve">Φ</w:t>
      </w:r>
      <w:r>
        <w:rPr>
          <w:sz w:val="24"/>
          <w:szCs w:val="24"/>
          <w:vertAlign w:val="subscript"/>
        </w:rPr>
        <w:t xml:space="preserve">a</w:t>
      </w:r>
      <w:r>
        <w:rPr>
          <w:sz w:val="24"/>
          <w:szCs w:val="24"/>
        </w:rPr>
        <w:t xml:space="preserve"> / √2 = 2,22 · f · </w:t>
      </w:r>
      <w:r>
        <w:rPr>
          <w:i/>
          <w:iCs/>
          <w:sz w:val="24"/>
          <w:szCs w:val="24"/>
        </w:rPr>
        <w:t xml:space="preserve">Φ</w:t>
      </w:r>
      <w:r>
        <w:rPr>
          <w:sz w:val="24"/>
          <w:szCs w:val="24"/>
          <w:vertAlign w:val="subscript"/>
        </w:rPr>
        <w:t xml:space="preserve">a</w:t>
      </w:r>
      <w:r>
        <w:rPr>
          <w:color w:val="6D8289"/>
        </w:rPr>
        <w:t xml:space="preserve">	(2)</w:t>
      </w:r>
    </w:p>
    <w:p>
      <w:pPr>
        <w:spacing w:after="100" w:line="264"/>
        <w:jc w:val="both"/>
      </w:pPr>
      <w:r>
        <w:t xml:space="preserve">Para el 4 % del flujo nominal: v4% = 0,0888·f·Φa, es decir </w:t>
      </w:r>
      <w:r>
        <w:rPr>
          <w:b/>
          <w:bCs/>
        </w:rPr>
        <w:t xml:space="preserve">4,44·Φa</w:t>
      </w:r>
      <w:r>
        <w:t xml:space="preserve"> a 50 Hz y </w:t>
      </w:r>
      <w:r>
        <w:rPr>
          <w:b/>
          <w:bCs/>
        </w:rPr>
        <w:t xml:space="preserve">5,33·Φa</w:t>
      </w:r>
      <w:r>
        <w:t xml:space="preserve"> a 60 Hz. El flujo en el entrehierro [Wb] es:</w:t>
      </w:r>
    </w:p>
    <w:p>
      <w:pPr>
        <w:tabs>
          <w:tab w:val="center" w:pos="4819"/>
          <w:tab w:val="right" w:pos="9638"/>
        </w:tabs>
        <w:spacing w:after="120" w:before="80"/>
        <w:jc w:val="left"/>
      </w:pPr>
      <w:r>
        <w:t xml:space="preserve">	</w:t>
      </w:r>
      <w:r>
        <w:rPr>
          <w:i/>
          <w:iCs/>
          <w:sz w:val="24"/>
          <w:szCs w:val="24"/>
        </w:rPr>
        <w:t xml:space="preserve">Φ</w:t>
      </w:r>
      <w:r>
        <w:rPr>
          <w:sz w:val="24"/>
          <w:szCs w:val="24"/>
          <w:vertAlign w:val="subscript"/>
        </w:rPr>
        <w:t xml:space="preserve">a</w:t>
      </w:r>
      <w:r>
        <w:rPr>
          <w:sz w:val="24"/>
          <w:szCs w:val="24"/>
        </w:rPr>
        <w:t xml:space="preserve"> = (</w:t>
      </w:r>
      <w:r>
        <w:rPr>
          <w:i/>
          <w:iCs/>
          <w:sz w:val="24"/>
          <w:szCs w:val="24"/>
        </w:rPr>
        <w:t xml:space="preserve">V</w:t>
      </w:r>
      <w:r>
        <w:rPr>
          <w:sz w:val="24"/>
          <w:szCs w:val="24"/>
          <w:vertAlign w:val="subscript"/>
        </w:rPr>
        <w:t xml:space="preserve">l</w:t>
      </w:r>
      <w:r>
        <w:rPr>
          <w:sz w:val="24"/>
          <w:szCs w:val="24"/>
        </w:rPr>
        <w:t xml:space="preserve"> / √3) / (4,44 · K · </w:t>
      </w:r>
      <w:r>
        <w:rPr>
          <w:i/>
          <w:iCs/>
          <w:sz w:val="24"/>
          <w:szCs w:val="24"/>
        </w:rPr>
        <w:t xml:space="preserve">T</w:t>
      </w:r>
      <w:r>
        <w:rPr>
          <w:sz w:val="24"/>
          <w:szCs w:val="24"/>
          <w:vertAlign w:val="subscript"/>
        </w:rPr>
        <w:t xml:space="preserve">ph</w:t>
      </w:r>
      <w:r>
        <w:rPr>
          <w:sz w:val="24"/>
          <w:szCs w:val="24"/>
        </w:rPr>
        <w:t xml:space="preserve"> · f)</w:t>
      </w:r>
      <w:r>
        <w:rPr>
          <w:color w:val="6D8289"/>
        </w:rPr>
        <w:t xml:space="preserve">	(3)</w:t>
      </w:r>
    </w:p>
    <w:p>
      <w:pPr>
        <w:spacing w:after="100" w:line="264"/>
        <w:jc w:val="both"/>
      </w:pPr>
      <w:r>
        <w:t xml:space="preserve">Reemplazando, la tensión por espira para el 4 % del flujo nominal resulta:</w:t>
      </w:r>
    </w:p>
    <w:p>
      <w:pPr>
        <w:tabs>
          <w:tab w:val="center" w:pos="4819"/>
          <w:tab w:val="right" w:pos="9638"/>
        </w:tabs>
        <w:spacing w:after="120" w:before="80"/>
        <w:jc w:val="left"/>
      </w:pPr>
      <w:r>
        <w:t xml:space="preserve">	</w:t>
      </w:r>
      <w:r>
        <w:rPr>
          <w:i/>
          <w:iCs/>
          <w:sz w:val="24"/>
          <w:szCs w:val="24"/>
        </w:rPr>
        <w:t xml:space="preserve">v</w:t>
      </w:r>
      <w:r>
        <w:rPr>
          <w:sz w:val="24"/>
          <w:szCs w:val="24"/>
          <w:vertAlign w:val="subscript"/>
        </w:rPr>
        <w:t xml:space="preserve">t</w:t>
      </w:r>
      <w:r>
        <w:rPr>
          <w:sz w:val="24"/>
          <w:szCs w:val="24"/>
        </w:rPr>
        <w:t xml:space="preserve"> = 0,04 · </w:t>
      </w:r>
      <w:r>
        <w:rPr>
          <w:i/>
          <w:iCs/>
          <w:sz w:val="24"/>
          <w:szCs w:val="24"/>
        </w:rPr>
        <w:t xml:space="preserve">V</w:t>
      </w:r>
      <w:r>
        <w:rPr>
          <w:sz w:val="24"/>
          <w:szCs w:val="24"/>
          <w:vertAlign w:val="subscript"/>
        </w:rPr>
        <w:t xml:space="preserve">l</w:t>
      </w:r>
      <w:r>
        <w:rPr>
          <w:sz w:val="24"/>
          <w:szCs w:val="24"/>
        </w:rPr>
        <w:t xml:space="preserve"> / (√3 · 2 · K · </w:t>
      </w:r>
      <w:r>
        <w:rPr>
          <w:i/>
          <w:iCs/>
          <w:sz w:val="24"/>
          <w:szCs w:val="24"/>
        </w:rPr>
        <w:t xml:space="preserve">T</w:t>
      </w:r>
      <w:r>
        <w:rPr>
          <w:sz w:val="24"/>
          <w:szCs w:val="24"/>
          <w:vertAlign w:val="subscript"/>
        </w:rPr>
        <w:t xml:space="preserve">ph</w:t>
      </w:r>
      <w:r>
        <w:rPr>
          <w:sz w:val="24"/>
          <w:szCs w:val="24"/>
        </w:rPr>
        <w:t xml:space="preserve">)</w:t>
      </w:r>
      <w:r>
        <w:rPr>
          <w:color w:val="6D8289"/>
        </w:rPr>
        <w:t xml:space="preserve">	(4)</w:t>
      </w:r>
    </w:p>
    <w:p>
      <w:pPr>
        <w:spacing w:after="100" w:line="264"/>
        <w:jc w:val="both"/>
      </w:pPr>
      <w:r>
        <w:t xml:space="preserve">Con Vl en kV y K = 0,926 se obtiene la expresión práctica [V/espira]:</w:t>
      </w:r>
    </w:p>
    <w:p>
      <w:pPr>
        <w:tabs>
          <w:tab w:val="center" w:pos="4819"/>
          <w:tab w:val="right" w:pos="9638"/>
        </w:tabs>
        <w:spacing w:after="120" w:before="80"/>
        <w:jc w:val="left"/>
      </w:pPr>
      <w:r>
        <w:t xml:space="preserve">	</w:t>
      </w:r>
      <w:r>
        <w:rPr>
          <w:i/>
          <w:iCs/>
          <w:sz w:val="24"/>
          <w:szCs w:val="24"/>
        </w:rPr>
        <w:t xml:space="preserve">v</w:t>
      </w:r>
      <w:r>
        <w:rPr>
          <w:sz w:val="24"/>
          <w:szCs w:val="24"/>
          <w:vertAlign w:val="subscript"/>
        </w:rPr>
        <w:t xml:space="preserve">t</w:t>
      </w:r>
      <w:r>
        <w:rPr>
          <w:sz w:val="24"/>
          <w:szCs w:val="24"/>
        </w:rPr>
        <w:t xml:space="preserve"> ≈ 12,5 · </w:t>
      </w:r>
      <w:r>
        <w:rPr>
          <w:i/>
          <w:iCs/>
          <w:sz w:val="24"/>
          <w:szCs w:val="24"/>
        </w:rPr>
        <w:t xml:space="preserve">V</w:t>
      </w:r>
      <w:r>
        <w:rPr>
          <w:sz w:val="24"/>
          <w:szCs w:val="24"/>
          <w:vertAlign w:val="subscript"/>
        </w:rPr>
        <w:t xml:space="preserve">l</w:t>
      </w:r>
      <w:r>
        <w:rPr>
          <w:sz w:val="24"/>
          <w:szCs w:val="24"/>
        </w:rPr>
        <w:t xml:space="preserve"> [kV] / </w:t>
      </w:r>
      <w:r>
        <w:rPr>
          <w:i/>
          <w:iCs/>
          <w:sz w:val="24"/>
          <w:szCs w:val="24"/>
        </w:rPr>
        <w:t xml:space="preserve">T</w:t>
      </w:r>
      <w:r>
        <w:rPr>
          <w:sz w:val="24"/>
          <w:szCs w:val="24"/>
          <w:vertAlign w:val="subscript"/>
        </w:rPr>
        <w:t xml:space="preserve">ph</w:t>
      </w:r>
      <w:r>
        <w:rPr>
          <w:color w:val="6D8289"/>
        </w:rPr>
        <w:t xml:space="preserve">	(5)</w:t>
      </w:r>
    </w:p>
    <w:p>
      <w:pPr>
        <w:spacing w:after="100" w:line="264"/>
        <w:jc w:val="both"/>
      </w:pPr>
      <w:r>
        <w:t xml:space="preserve">Donde Vl es la tensión de línea nominal, K el factor de bobinado (paso × distribución) y Tph el número de espiras en serie por fase.</w:t>
      </w:r>
    </w:p>
    <w:p>
      <w:pPr>
        <w:pStyle w:val="Heading1"/>
        <w:keepNext/>
        <w:spacing w:after="140" w:before="280"/>
      </w:pPr>
      <w:r>
        <w:t xml:space="preserve">3. REGISTROS</w:t>
      </w:r>
    </w:p>
    <w:p>
      <w:pPr>
        <w:keepNext/>
        <w:spacing w:after="100" w:line="264"/>
        <w:jc w:val="both"/>
      </w:pPr>
      <w:r>
        <w:t xml:space="preserve">Los registros generados como consecuencia de las acciones involucradas en el documento son: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4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TÍTULO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74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838"/>
      </w:tblGrid>
      <w:tr>
        <w:trPr>
          <w:cantSplit/>
          <w:tblHeader/>
        </w:trPr>
        <w:tc>
          <w:tcPr>
            <w:tcW w:type="dxa" w:w="14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REVISIÓN</w:t>
            </w:r>
          </w:p>
        </w:tc>
        <w:tc>
          <w:tcPr>
            <w:tcW w:type="dxa" w:w="14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8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00</w:t>
            </w:r>
          </w:p>
        </w:tc>
        <w:tc>
          <w:tcPr>
            <w:tcW w:type="dxa" w:w="14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28/10/2026</w:t>
            </w:r>
          </w:p>
        </w:tc>
        <w:tc>
          <w:tcPr>
            <w:tcW w:type="dxa" w:w="68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Versión inicial. Adaptación al formato Mecanálisis de los «Protocolos de ensayo ELCID robotizado» (Nexergy Corp., junio 2025).</w:t>
            </w:r>
          </w:p>
        </w:tc>
      </w:tr>
    </w:tbl>
    <w:p>
      <w:pPr>
        <w:keepNext/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  <w:tblHeader/>
        </w:trPr>
        <w:tc>
          <w:tcPr>
            <w:tcW w:type="dxa" w:w="241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PREPARÓ</w:t>
            </w:r>
          </w:p>
        </w:tc>
        <w:tc>
          <w:tcPr>
            <w:tcW w:type="dxa" w:w="241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REVISÓ</w:t>
            </w:r>
          </w:p>
        </w:tc>
        <w:tc>
          <w:tcPr>
            <w:tcW w:type="dxa" w:w="2409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APROBÓ</w:t>
            </w:r>
          </w:p>
        </w:tc>
        <w:tc>
          <w:tcPr>
            <w:tcW w:type="dxa" w:w="2409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FECHA DE EMISIÓN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0" w:line="252"/>
              <w:jc w:val="left"/>
            </w:pPr>
          </w:p>
        </w:tc>
        <w:tc>
          <w:tcPr>
            <w:tcW w:type="dxa" w:w="241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0" w:line="252"/>
              <w:jc w:val="left"/>
            </w:pPr>
          </w:p>
        </w:tc>
        <w:tc>
          <w:tcPr>
            <w:tcW w:type="dxa" w:w="2409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0" w:line="252"/>
              <w:jc w:val="left"/>
            </w:pPr>
          </w:p>
        </w:tc>
        <w:tc>
          <w:tcPr>
            <w:tcW w:type="dxa" w:w="2409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0" w:line="252"/>
              <w:jc w:val="left"/>
            </w:pPr>
          </w:p>
        </w:tc>
      </w:tr>
    </w:tbl>
    <w:p>
      <w:pPr>
        <w:keepNext/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blHeader/>
        </w:trPr>
        <w:tc>
          <w:tcPr>
            <w:tcW w:type="dxa" w:w="96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DOCUMENTOS DE REFERENCIA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pPr>
        <w:spacing w:before="480"/>
        <w:jc w:val="center"/>
      </w:pPr>
      <w:r>
        <w:rPr>
          <w:b/>
          <w:bCs/>
          <w:color w:val="E36C0A"/>
          <w:sz w:val="28"/>
          <w:szCs w:val="28"/>
        </w:rPr>
        <w:t xml:space="preserve">FIN DE DOCUMENTO</w:t>
      </w:r>
    </w:p>
    <w:sectPr>
      <w:headerReference w:type="default" r:id="rId7"/>
      <w:footerReference w:type="default" r:id="rId8"/>
      <w:pgSz w:w="11906" w:h="16838" w:orient="portrait"/>
      <w:pgMar w:top="2100" w:right="1134" w:bottom="1700" w:left="1134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/>
      <w:jc w:val="center"/>
    </w:pPr>
    <w:r>
      <w:rPr>
        <w:b/>
        <w:bCs/>
        <w:i/>
        <w:iCs/>
        <w:sz w:val="16"/>
        <w:szCs w:val="16"/>
      </w:rPr>
      <w:t xml:space="preserve">SI ESTE DOCUMENTO SE ENCUENTRA IMPRESO SE CONSIDERA COPIA NO CONTROLADA</w:t>
    </w:r>
  </w:p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638"/>
      <w:gridCol w:w="3000"/>
    </w:tblGrid>
    <w:tr>
      <w:tc>
        <w:tcPr>
          <w:tcW w:type="dxa" w:w="66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90"/>
            <w:bottom w:type="dxa" w:w="50"/>
            <w:right w:type="dxa" w:w="90"/>
          </w:tcMar>
          <w:vAlign w:val="center"/>
        </w:tcPr>
        <w:p>
          <w:pPr>
            <w:spacing w:after="0"/>
          </w:pPr>
          <w:r>
            <w:rPr>
              <w:color w:val="595959"/>
              <w:sz w:val="16"/>
              <w:szCs w:val="16"/>
            </w:rPr>
            <w:t xml:space="preserve">www.mecanalisis.com.ar | +54 261 476 9010</w:t>
          </w:r>
        </w:p>
        <w:p>
          <w:pPr>
            <w:spacing w:after="0"/>
          </w:pPr>
          <w:r>
            <w:rPr>
              <w:color w:val="595959"/>
              <w:sz w:val="16"/>
              <w:szCs w:val="16"/>
            </w:rPr>
            <w:t xml:space="preserve">Pedro del Castillo 3160 . 5519 Guaymallén – Mendoza, Argentina.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90"/>
            <w:bottom w:type="dxa" w:w="50"/>
            <w:right w:type="dxa" w:w="9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428750" cy="400050"/>
                <wp:effectExtent t="0" r="0" b="0" l="0"/>
                <wp:docPr id="1" name="logo" descr="Logo Mecanálisis" title="Mecanális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750"/>
      <w:gridCol w:w="3900"/>
      <w:gridCol w:w="1900"/>
      <w:gridCol w:w="2088"/>
    </w:tblGrid>
    <w:tr>
      <w:tc>
        <w:tcPr>
          <w:tcW w:type="dxa" w:w="17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90"/>
            <w:bottom w:type="dxa" w:w="50"/>
            <w:right w:type="dxa" w:w="90"/>
          </w:tcMar>
          <w:vAlign w:val="top"/>
        </w:tcPr>
        <w:p>
          <w:pPr>
            <w:spacing w:after="20"/>
            <w:jc w:val="left"/>
          </w:pPr>
          <w:r>
            <w:rPr>
              <w:rFonts w:ascii="Calibri" w:cs="Calibri" w:eastAsia="Calibri" w:hAnsi="Calibri"/>
              <w:sz w:val="14"/>
              <w:szCs w:val="14"/>
            </w:rPr>
            <w:t xml:space="preserve">TIPO DE DOCUMENTO</w:t>
          </w:r>
        </w:p>
        <w:p>
          <w:pPr>
            <w:spacing w:after="20"/>
            <w:jc w:val="left"/>
          </w:pPr>
          <w:r>
            <w:rPr>
              <w:rFonts w:ascii="Calibri" w:cs="Calibri" w:eastAsia="Calibri" w:hAnsi="Calibri"/>
              <w:sz w:val="14"/>
              <w:szCs w:val="14"/>
            </w:rPr>
            <w:t xml:space="preserve">TÍTULO DE DOCUMENTO</w:t>
          </w:r>
        </w:p>
      </w:tc>
      <w:tc>
        <w:tcPr>
          <w:tcW w:type="dxa" w:w="39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90"/>
            <w:bottom w:type="dxa" w:w="50"/>
            <w:right w:type="dxa" w:w="90"/>
          </w:tcMar>
          <w:vAlign w:val="top"/>
        </w:tcPr>
        <w:p>
          <w:pPr>
            <w:spacing w:after="0"/>
            <w:jc w:val="left"/>
          </w:pPr>
          <w:r>
            <w:rPr>
              <w:rFonts w:ascii="Calibri" w:cs="Calibri" w:eastAsia="Calibri" w:hAnsi="Calibri"/>
              <w:b/>
              <w:bCs/>
              <w:color w:val="6D8289"/>
              <w:sz w:val="16"/>
              <w:szCs w:val="16"/>
            </w:rPr>
            <w:t xml:space="preserve">PROCEDIMIENTO – ANEXO</w:t>
          </w:r>
        </w:p>
        <w:p>
          <w:pPr>
            <w:spacing w:after="0"/>
            <w:jc w:val="left"/>
          </w:pPr>
          <w:r>
            <w:rPr>
              <w:rFonts w:ascii="Calibri" w:cs="Calibri" w:eastAsia="Calibri" w:hAnsi="Calibri"/>
              <w:b/>
              <w:bCs/>
              <w:color w:val="6D8289"/>
              <w:sz w:val="16"/>
              <w:szCs w:val="16"/>
            </w:rPr>
            <w:t xml:space="preserve">PROTOCOLOS DE ENSAYO EL CID</w:t>
          </w:r>
        </w:p>
        <w:p>
          <w:pPr>
            <w:spacing w:after="0"/>
            <w:jc w:val="left"/>
          </w:pPr>
          <w:r>
            <w:rPr>
              <w:rFonts w:ascii="Calibri" w:cs="Calibri" w:eastAsia="Calibri" w:hAnsi="Calibri"/>
              <w:b/>
              <w:bCs/>
              <w:color w:val="6D8289"/>
              <w:sz w:val="16"/>
              <w:szCs w:val="16"/>
            </w:rPr>
            <w:t xml:space="preserve">EXCITACIÓN, CALIBRACIÓN Y SOFTWARE</w:t>
          </w:r>
        </w:p>
      </w:tc>
      <w:tc>
        <w:tcPr>
          <w:tcW w:type="dxa" w:w="19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90"/>
            <w:bottom w:type="dxa" w:w="50"/>
            <w:right w:type="dxa" w:w="90"/>
          </w:tcMar>
          <w:vAlign w:val="top"/>
        </w:tcPr>
        <w:p>
          <w:pPr>
            <w:spacing w:after="40" w:before="40"/>
            <w:jc w:val="right"/>
          </w:pPr>
          <w:r>
            <w:rPr>
              <w:sz w:val="14"/>
              <w:szCs w:val="14"/>
            </w:rPr>
            <w:t xml:space="preserve">CÓDIGO</w:t>
          </w:r>
        </w:p>
        <w:p>
          <w:pPr>
            <w:spacing w:after="20"/>
            <w:jc w:val="right"/>
          </w:pPr>
          <w:r>
            <w:rPr>
              <w:rFonts w:ascii="Calibri" w:cs="Calibri" w:eastAsia="Calibri" w:hAnsi="Calibri"/>
              <w:sz w:val="14"/>
              <w:szCs w:val="14"/>
            </w:rPr>
            <w:t xml:space="preserve">VERSIÓN</w:t>
          </w:r>
        </w:p>
        <w:p>
          <w:pPr>
            <w:spacing w:after="20"/>
            <w:jc w:val="right"/>
          </w:pPr>
          <w:r>
            <w:rPr>
              <w:rFonts w:ascii="Calibri" w:cs="Calibri" w:eastAsia="Calibri" w:hAnsi="Calibri"/>
              <w:sz w:val="14"/>
              <w:szCs w:val="14"/>
            </w:rPr>
            <w:t xml:space="preserve">FECHA DE REVISIÓN</w:t>
          </w:r>
        </w:p>
      </w:tc>
      <w:tc>
        <w:tcPr>
          <w:tcW w:type="dxa" w:w="2088"/>
          <w:tcBorders>
            <w:top w:val="none" w:color="FFFFFF" w:sz="0"/>
            <w:left w:val="none" w:color="FFFFFF" w:sz="0"/>
            <w:bottom w:val="none" w:color="FFFFFF" w:sz="0"/>
            <w:right w:val="single" w:color="E36C0A" w:sz="12"/>
          </w:tcBorders>
          <w:tcMar>
            <w:top w:type="dxa" w:w="50"/>
            <w:left w:type="dxa" w:w="90"/>
            <w:bottom w:type="dxa" w:w="50"/>
            <w:right w:type="dxa" w:w="90"/>
          </w:tcMar>
          <w:vAlign w:val="top"/>
        </w:tcPr>
        <w:p>
          <w:pPr>
            <w:spacing w:after="0"/>
            <w:jc w:val="right"/>
          </w:pPr>
          <w:r>
            <w:rPr>
              <w:rFonts w:ascii="Calibri" w:cs="Calibri" w:eastAsia="Calibri" w:hAnsi="Calibri"/>
              <w:b/>
              <w:bCs/>
              <w:color w:val="E36C0A"/>
              <w:sz w:val="22"/>
              <w:szCs w:val="22"/>
            </w:rPr>
            <w:t xml:space="preserve">00503-00-EPG002</w:t>
          </w:r>
        </w:p>
        <w:p>
          <w:pPr>
            <w:spacing w:after="0"/>
            <w:jc w:val="right"/>
          </w:pPr>
          <w:r>
            <w:rPr>
              <w:rFonts w:ascii="Calibri" w:cs="Calibri" w:eastAsia="Calibri" w:hAnsi="Calibri"/>
              <w:b/>
              <w:bCs/>
              <w:color w:val="E36C0A"/>
              <w:sz w:val="16"/>
              <w:szCs w:val="16"/>
            </w:rPr>
            <w:t xml:space="preserve">00</w:t>
          </w:r>
        </w:p>
        <w:p>
          <w:pPr>
            <w:spacing w:after="0"/>
            <w:jc w:val="right"/>
          </w:pPr>
          <w:r>
            <w:rPr>
              <w:rFonts w:ascii="Calibri" w:cs="Calibri" w:eastAsia="Calibri" w:hAnsi="Calibri"/>
              <w:b/>
              <w:bCs/>
              <w:color w:val="E36C0A"/>
              <w:sz w:val="16"/>
              <w:szCs w:val="16"/>
            </w:rPr>
            <w:t xml:space="preserve">28/10/2026</w:t>
          </w:r>
        </w:p>
      </w:tc>
    </w:tr>
  </w:tbl>
  <w:p>
    <w:pPr>
      <w:spacing w:after="0" w:before="60"/>
      <w:jc w:val="right"/>
    </w:pPr>
    <w:r>
      <w:rPr>
        <w:color w:val="6D8289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color w:val="6D8289"/>
        <w:sz w:val="28"/>
        <w:szCs w:val="28"/>
      </w:rPr>
      <w:t xml:space="preserve">/</w:t>
    </w:r>
    <w:r>
      <w:rPr>
        <w:color w:val="6D8289"/>
        <w:sz w:val="28"/>
        <w:szCs w:val="28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7" w:hanging="283"/>
      </w:pPr>
    </w:lvl>
    <w:lvl w:ilvl="1" w15:tentative="1">
      <w:start w:val="1"/>
      <w:numFmt w:val="bullet"/>
      <w:lvlText w:val="▪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E36C0A"/>
      <w:sz w:val="24"/>
      <w:szCs w:val="24"/>
    </w:rPr>
  </w:style>
  <w:style w:type="paragraph" w:styleId="Heading2">
    <w:name w:val="Heading 2"/>
    <w:basedOn w:val="Normal"/>
    <w:next w:val="Normal"/>
    <w:qFormat/>
    <w:pPr>
      <w:ind w:left="0"/>
      <w:outlineLvl w:val="1"/>
    </w:pPr>
    <w:rPr>
      <w:rFonts w:ascii="Calibri" w:cs="Calibri" w:eastAsia="Calibri" w:hAnsi="Calibri"/>
      <w:b/>
      <w:bCs/>
      <w:color w:val="E36C0A"/>
      <w:sz w:val="21"/>
      <w:szCs w:val="21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6D828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373fe6b484aba155dbd90d4a1deb1094c198147.png"/><Relationship Id="rId10" Type="http://schemas.openxmlformats.org/officeDocument/2006/relationships/image" Target="media/40e3a124f1f211dbae59e0107251fccbba13ddf7.png"/><Relationship Id="rId11" Type="http://schemas.openxmlformats.org/officeDocument/2006/relationships/image" Target="media/07e1fb749a9de7d9621fbf16a07998df71dec041.png"/><Relationship Id="rId12" Type="http://schemas.openxmlformats.org/officeDocument/2006/relationships/image" Target="media/f7294b081886562ab15a88f7b28cfc925c42b0c0.png"/><Relationship Id="rId13" Type="http://schemas.openxmlformats.org/officeDocument/2006/relationships/image" Target="media/2b9ce9a820844fcab8c317439679d48f04d01c78.png"/><Relationship Id="rId14" Type="http://schemas.openxmlformats.org/officeDocument/2006/relationships/image" Target="media/ccc3ea07f53a8691bca6ae02ab6bfe58012d03f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d8ad7d3ef2e06a9a5d118496bde23a019d59fd1.jp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00503-00-EPG002 PROTOCOLOS DE ENSAYO EL CID – Excitación del núcleo, calibración y operación de ELCSoft</dc:title>
  <dc:creator>Mecanálisis S.A.</dc:creator>
  <cp:lastModifiedBy>Un-named</cp:lastModifiedBy>
  <cp:revision>1</cp:revision>
  <dcterms:created xsi:type="dcterms:W3CDTF">2026-10-28T13:06:45.717Z</dcterms:created>
  <dcterms:modified xsi:type="dcterms:W3CDTF">2026-10-28T13:06:45.717Z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