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DETERMINACIÓN DE LA TENSIÓN POR ESPIRA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11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(bobina Chattock)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corriente de falla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Vl, Tph, K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de línea nominal, número de espiras en serie por fase y factor de bobinado (paso × distribución) del generador.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2.5,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corriente de falla controlada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máxima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Hasta 50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se determina a partir de la tensión por espira calculada según el apartado 2.4 (Apéndice),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Variac.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corriente de falla controlada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Variac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DETERMINACIÓN DE LA TENSIÓN POR ESPIRA</w:t>
      </w:r>
    </w:p>
    <w:p>
      <w:pPr>
        <w:spacing w:after="100" w:line="264"/>
        <w:jc w:val="both"/>
      </w:pPr>
      <w:r>
        <w:t xml:space="preserve">Para un flujo sinusoidal Φ = Φm · sen(2πft) inducido en forma anular en el núcleo, la tensión inducida por espira (ley de Faraday) tiene un valor eficaz: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2π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m</w:t>
      </w:r>
      <w:r>
        <w:rPr>
          <w:sz w:val="24"/>
          <w:szCs w:val="24"/>
        </w:rPr>
        <w:t xml:space="preserve"> / √2</w:t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Como el flujo por polo en el entrehierro, Φa, se divide en dos mitades en el yugo (Φm = Φa/2):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π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sz w:val="24"/>
          <w:szCs w:val="24"/>
        </w:rPr>
        <w:t xml:space="preserve"> / √2 = 2,22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Para el 4 % del flujo nominal: v4% = 0,0888·f·Φa, es decir </w:t>
      </w:r>
      <w:r>
        <w:rPr>
          <w:b/>
          <w:bCs/>
        </w:rPr>
        <w:t xml:space="preserve">4,44·Φa</w:t>
      </w:r>
      <w:r>
        <w:t xml:space="preserve"> a 50 Hz y </w:t>
      </w:r>
      <w:r>
        <w:rPr>
          <w:b/>
          <w:bCs/>
        </w:rPr>
        <w:t xml:space="preserve">5,33·Φa</w:t>
      </w:r>
      <w:r>
        <w:t xml:space="preserve"> a 60 Hz. El flujo en el entrehierro [Wb] es: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sz w:val="24"/>
          <w:szCs w:val="24"/>
        </w:rPr>
        <w:t xml:space="preserve"> = (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/ √3) / (4,44 · K ·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sz w:val="24"/>
          <w:szCs w:val="24"/>
        </w:rPr>
        <w:t xml:space="preserve"> · f)</w:t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Reemplazando, la tensión por espira para el 4 % del flujo nominal resulta: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0,04 · 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/ (√3 · 2 · K ·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sz w:val="24"/>
          <w:szCs w:val="24"/>
        </w:rPr>
        <w:t xml:space="preserve">)</w:t>
      </w:r>
      <w:r>
        <w:rPr>
          <w:color w:val="6D8289"/>
        </w:rPr>
        <w:t xml:space="preserve">	(4)</w:t>
      </w:r>
    </w:p>
    <w:p>
      <w:pPr>
        <w:spacing w:after="100" w:line="264"/>
        <w:jc w:val="both"/>
      </w:pPr>
      <w:r>
        <w:t xml:space="preserve">Con Vl en kV y K = 0,926 se obtiene la expresión práctica [V/espira]: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≈ 12,5 · 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[kV] /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color w:val="6D8289"/>
        </w:rPr>
        <w:t xml:space="preserve">	(5)</w:t>
      </w:r>
    </w:p>
    <w:p>
      <w:pPr>
        <w:spacing w:after="100" w:line="264"/>
        <w:jc w:val="both"/>
      </w:pPr>
      <w:r>
        <w:t xml:space="preserve">Donde Vl es la tensión de línea nominal, K el factor de bobinado (paso × distribución) y Tph el número de espiras en serie por fase.</w:t>
      </w:r>
    </w:p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2026-10-28T01:12:18.659Z</dcterms:created>
  <dcterms:modified xsi:type="dcterms:W3CDTF">2026-10-28T01:12:18.659Z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