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11</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Equipo de tensión de salida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tip)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32);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34);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30 y 49).</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31</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32 – 37</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38 – 46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47 – 52</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cortocircuito del cable principal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del robot contra descargas electrostáticas mientras el cable principal no está conectado al control box (Tabla 3).</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46</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Poner en marcha el control box y conectar el cable principal del robot siguiendo la secuencia de la Tabla 3, que protege los componentes del robot contra descargas electrostáticas. Repetir la secuencia cada vez que se conecte el cable principal.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28), que no se corre ni se desata con los tirones ni con las vibraciones del ensayo. Se ata según la Figura 1.</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pStyle w:val="Heading3"/>
        <w:keepNext/>
        <w:spacing w:after="80" w:before="160"/>
      </w:pPr>
      <w:r>
        <w:t xml:space="preserve">2.8.2 Puesta en marcha y parada del control box</w:t>
      </w:r>
    </w:p>
    <w:p>
      <w:pPr>
        <w:keepNext/>
        <w:spacing w:after="100" w:line="264"/>
        <w:jc w:val="both"/>
      </w:pPr>
      <w:r>
        <w:t xml:space="preserve">Para reducir el riesgo de que una descarga electrostática dañe los componentes del robot, el cable principal se conecta y se desconecta siempre con la llave del control box en ABIERTO (OFF) y en el orden de la Tabla 3: mientras el cable no está conectado al control box, lleva colocado el dispositivo de cortocircuito conectado a tierra. La secuencia de puesta en marcha se aplica cada vez que se conecta el cable principal (paso 27) y la de parada, cada vez que se desconecta.</w:t>
      </w:r>
    </w:p>
    <w:p>
      <w:pPr>
        <w:keepNext/>
        <w:spacing w:after="100" w:line="264"/>
        <w:jc w:val="both"/>
      </w:pPr>
      <w:r>
        <w:rPr>
          <w:b/>
          <w:bCs/>
        </w:rPr>
        <w:t xml:space="preserve">Tabla 3: Secuencias de puesta en marcha y de parada del control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Puesta en marcha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control box a la red eléctrica.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Verificar que la llave del control box esté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los cables USB y Ethernet entre el control box y la PC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Retirar</w:t>
            </w:r>
            <w:r>
              <w:rPr>
                <w:b w:val="false"/>
                <w:bCs w:val="false"/>
                <w:sz w:val="19"/>
                <w:szCs w:val="19"/>
              </w:rPr>
              <w:t xml:space="preserve"> el dispositivo de cortocircuito del cable principal.</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8</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Energizar el control box (llave en CERRADO / ON).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9</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Iniciar el software GRIS.</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Parada / desenergización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Cerrar el software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Poner la llave del control box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los cables USB y Ethernet.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control box de la red eléctrica.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Reencendido: </w:t>
            </w:r>
            <w:r>
              <w:t xml:space="preserve">si el cable principal sigue conectado al control box y al robot, para volver a encender basta con poner la llave en CERRADO (ON) e iniciar el software. Para apagar, cerrar el software y poner la llave en ABIERTO (OFF).</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38 a 45 se repiten para cada ranura a inspeccionar. El paso 46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34.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38.</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Desenergizar el control box y desconectar el cable principal del robot siguiendo la secuencia de parada de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2026-10-29T13:43:24.475Z</dcterms:created>
  <dcterms:modified xsi:type="dcterms:W3CDTF">2026-10-29T13:43:24.475Z</dcterms:modified>
</cp:coreProperties>
</file>

<file path=docProps/custom.xml><?xml version="1.0" encoding="utf-8"?>
<Properties xmlns="http://schemas.openxmlformats.org/officeDocument/2006/custom-properties" xmlns:vt="http://schemas.openxmlformats.org/officeDocument/2006/docPropsVTypes"/>
</file>