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513D" w14:textId="05B1326C" w:rsidR="00386659" w:rsidRPr="000E5E06" w:rsidRDefault="006628F5" w:rsidP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sz w:val="36"/>
          <w:szCs w:val="36"/>
          <w:u w:val="single"/>
        </w:rPr>
        <w:t>|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&lt;</w:t>
      </w:r>
      <w:r w:rsidR="00172BA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Gestión</w:t>
      </w:r>
      <w:r w:rsidR="007C6AF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  <w:r w:rsidR="00172BA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de pagos e inscripción.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IPT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&gt;|</w:t>
      </w:r>
    </w:p>
    <w:p w14:paraId="4BBD513E" w14:textId="77777777" w:rsidR="00386659" w:rsidRPr="000E5E06" w:rsidRDefault="00386659">
      <w:pPr>
        <w:rPr>
          <w:u w:val="single"/>
        </w:rPr>
      </w:pPr>
    </w:p>
    <w:p w14:paraId="4BBD513F" w14:textId="77777777" w:rsidR="00386659" w:rsidRPr="000E5E06" w:rsidRDefault="00386659">
      <w:pPr>
        <w:rPr>
          <w:u w:val="single"/>
        </w:rPr>
      </w:pPr>
    </w:p>
    <w:p w14:paraId="4BBD5140" w14:textId="77777777" w:rsidR="00386659" w:rsidRPr="000E5E06" w:rsidRDefault="00386659">
      <w:pPr>
        <w:rPr>
          <w:u w:val="single"/>
        </w:rPr>
      </w:pPr>
    </w:p>
    <w:p w14:paraId="4BBD5141" w14:textId="688F4366" w:rsidR="00386659" w:rsidRPr="000E5E06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DOCUMENTO DE LA EMPRESA</w:t>
      </w:r>
    </w:p>
    <w:p w14:paraId="4BBD5142" w14:textId="77777777" w:rsidR="00386659" w:rsidRPr="000E5E06" w:rsidRDefault="00386659">
      <w:pPr>
        <w:rPr>
          <w:u w:val="single"/>
        </w:rPr>
      </w:pPr>
    </w:p>
    <w:p w14:paraId="4BBD5143" w14:textId="4C528B9D" w:rsidR="00386659" w:rsidRPr="000E5E06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0E5E06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Versión 1.</w:t>
      </w:r>
      <w:r w:rsidR="00865A86">
        <w:rPr>
          <w:rFonts w:ascii="Arial" w:eastAsia="Arial" w:hAnsi="Arial" w:cs="Arial"/>
          <w:b/>
          <w:sz w:val="28"/>
          <w:szCs w:val="28"/>
          <w:u w:val="single"/>
        </w:rPr>
        <w:t>2</w:t>
      </w:r>
    </w:p>
    <w:p w14:paraId="4BBD5144" w14:textId="77777777" w:rsidR="00386659" w:rsidRPr="006F34CD" w:rsidRDefault="00386659"/>
    <w:p w14:paraId="4BBD5145" w14:textId="77777777" w:rsidR="00386659" w:rsidRPr="006F34CD" w:rsidRDefault="00386659"/>
    <w:p w14:paraId="4BBD5146" w14:textId="77777777" w:rsidR="00386659" w:rsidRPr="006F34CD" w:rsidRDefault="00386659">
      <w:pPr>
        <w:sectPr w:rsidR="00386659" w:rsidRPr="006F34C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BD5147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BBD5148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4BBD5149" w14:textId="77777777" w:rsidR="00386659" w:rsidRPr="006F34CD" w:rsidRDefault="00386659"/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86659" w:rsidRPr="006F34CD" w14:paraId="4BBD514E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A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4B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4C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4D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Autor</w:t>
            </w:r>
          </w:p>
        </w:tc>
      </w:tr>
      <w:tr w:rsidR="00386659" w:rsidRPr="006F34CD" w14:paraId="4BBD515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F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t>09/06/2023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0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F34CD">
              <w:rPr>
                <w:color w:val="000000"/>
              </w:rPr>
              <w:t>1.</w:t>
            </w:r>
            <w:r w:rsidRPr="006F34CD">
              <w:t>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1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rPr>
                <w:color w:val="000000"/>
              </w:rPr>
              <w:t xml:space="preserve">Versión preliminar como </w:t>
            </w:r>
            <w:r w:rsidRPr="006F34CD">
              <w:rPr>
                <w:color w:val="000000"/>
              </w:rPr>
              <w:t>propuesta de desarrollo.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2" w14:textId="5C592A1D" w:rsidR="00386659" w:rsidRPr="006F34CD" w:rsidRDefault="000913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López </w:t>
            </w:r>
            <w:r w:rsidR="00865A86">
              <w:rPr>
                <w:color w:val="000000"/>
              </w:rPr>
              <w:t>C</w:t>
            </w:r>
            <w:r>
              <w:rPr>
                <w:color w:val="000000"/>
              </w:rPr>
              <w:t>arlos Facundo</w:t>
            </w:r>
          </w:p>
        </w:tc>
      </w:tr>
      <w:tr w:rsidR="00386659" w:rsidRPr="006F34CD" w14:paraId="4BBD515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4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006F34CD">
              <w:t>16/06/2023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5" w14:textId="77777777" w:rsidR="00386659" w:rsidRPr="006F34CD" w:rsidRDefault="006628F5">
            <w:pPr>
              <w:keepLines/>
              <w:spacing w:after="120"/>
              <w:jc w:val="center"/>
              <w:rPr>
                <w:color w:val="000000"/>
              </w:rPr>
            </w:pPr>
            <w:r w:rsidRPr="006F34CD"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6" w14:textId="77777777" w:rsidR="00386659" w:rsidRPr="006F34CD" w:rsidRDefault="006628F5">
            <w:pPr>
              <w:keepLines/>
              <w:spacing w:after="120"/>
              <w:rPr>
                <w:color w:val="000000"/>
              </w:rPr>
            </w:pPr>
            <w:r w:rsidRPr="006F34CD">
              <w:t>Versión 1era Corrección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7" w14:textId="623FB7CC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Luna </w:t>
            </w:r>
            <w:r w:rsidR="00091317">
              <w:rPr>
                <w:color w:val="000000"/>
              </w:rPr>
              <w:t>Jandar Emilio</w:t>
            </w:r>
          </w:p>
        </w:tc>
      </w:tr>
      <w:tr w:rsidR="00386659" w:rsidRPr="006F34CD" w14:paraId="4BBD515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9" w14:textId="688059A2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20/09/2023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A" w14:textId="01009750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B" w14:textId="789FA74F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Versión 2da Corrección 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C" w14:textId="4E76C19F" w:rsidR="00386659" w:rsidRPr="006F34CD" w:rsidRDefault="000913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Villafañe Matias Ignacio</w:t>
            </w:r>
          </w:p>
        </w:tc>
      </w:tr>
      <w:tr w:rsidR="00386659" w:rsidRPr="006F34CD" w14:paraId="4BBD5162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E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F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60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61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BBD5163" w14:textId="77777777" w:rsidR="00386659" w:rsidRPr="006F34CD" w:rsidRDefault="00386659"/>
    <w:p w14:paraId="4BBD5164" w14:textId="77777777" w:rsidR="00386659" w:rsidRPr="006F34CD" w:rsidRDefault="00386659"/>
    <w:p w14:paraId="4BBD5165" w14:textId="77777777" w:rsidR="00386659" w:rsidRPr="006F34CD" w:rsidRDefault="00386659"/>
    <w:p w14:paraId="4BBD5166" w14:textId="77777777" w:rsidR="00386659" w:rsidRPr="006F34CD" w:rsidRDefault="00386659">
      <w:pPr>
        <w:rPr>
          <w:color w:val="0066FF"/>
        </w:rPr>
      </w:pPr>
    </w:p>
    <w:p w14:paraId="4BBD5167" w14:textId="77777777" w:rsidR="00386659" w:rsidRPr="006F34CD" w:rsidRDefault="00386659"/>
    <w:p w14:paraId="4BBD5168" w14:textId="77777777" w:rsidR="00386659" w:rsidRPr="006F34CD" w:rsidRDefault="00386659"/>
    <w:p w14:paraId="4BBD5169" w14:textId="77777777" w:rsidR="00386659" w:rsidRPr="006F34CD" w:rsidRDefault="00386659"/>
    <w:p w14:paraId="4BBD516A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br w:type="page"/>
      </w: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p w14:paraId="4BBD5179" w14:textId="77777777" w:rsidR="00386659" w:rsidRPr="006F34CD" w:rsidRDefault="00386659" w:rsidP="002E2E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5732093" w14:textId="77777777" w:rsidR="002E2EFE" w:rsidRPr="00EC7123" w:rsidRDefault="002E2EFE" w:rsidP="002E2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683621" w:history="1">
        <w:r w:rsidRPr="006A6054">
          <w:rPr>
            <w:rStyle w:val="Hipervnculo"/>
            <w:noProof/>
          </w:rPr>
          <w:t>1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5637F" w14:textId="674AF78A" w:rsidR="002E2EFE" w:rsidRPr="00EC7123" w:rsidRDefault="002E2EFE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2" w:history="1">
        <w:r w:rsidRPr="006A6054">
          <w:rPr>
            <w:rStyle w:val="Hipervnculo"/>
            <w:noProof/>
          </w:rPr>
          <w:t>1.1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Historia de la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6CC8A" w14:textId="77777777" w:rsidR="002E2EFE" w:rsidRPr="00EC7123" w:rsidRDefault="002E2EFE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3" w:history="1">
        <w:r w:rsidRPr="006A6054">
          <w:rPr>
            <w:rStyle w:val="Hipervnculo"/>
            <w:noProof/>
          </w:rPr>
          <w:t>1.2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Misión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195F7" w14:textId="77777777" w:rsidR="002E2EFE" w:rsidRPr="00EC7123" w:rsidRDefault="002E2EFE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4" w:history="1">
        <w:r w:rsidRPr="006A6054">
          <w:rPr>
            <w:rStyle w:val="Hipervnculo"/>
            <w:noProof/>
          </w:rPr>
          <w:t>1.3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2D150" w14:textId="77777777" w:rsidR="002E2EFE" w:rsidRPr="00EC7123" w:rsidRDefault="002E2EFE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5" w:history="1">
        <w:r w:rsidRPr="006A6054">
          <w:rPr>
            <w:rStyle w:val="Hipervnculo"/>
            <w:noProof/>
          </w:rPr>
          <w:t>1.4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Referencias – [Otros documentos]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4C6D2" w14:textId="559EF976" w:rsidR="002E2EFE" w:rsidRPr="001F3280" w:rsidRDefault="002E2EFE" w:rsidP="002E2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AR"/>
        </w:rPr>
      </w:pPr>
      <w:r w:rsidRPr="001F3280">
        <w:rPr>
          <w:rStyle w:val="Hipervnculo"/>
          <w:noProof/>
          <w:color w:val="auto"/>
          <w:u w:val="none"/>
        </w:rPr>
        <w:t>2</w:t>
      </w:r>
      <w:r w:rsidRPr="001F3280">
        <w:rPr>
          <w:rFonts w:ascii="Calibri" w:hAnsi="Calibri"/>
          <w:noProof/>
          <w:sz w:val="22"/>
          <w:szCs w:val="22"/>
          <w:lang w:eastAsia="es-AR"/>
        </w:rPr>
        <w:tab/>
      </w:r>
      <w:r w:rsidRPr="001F3280">
        <w:rPr>
          <w:rStyle w:val="Hipervnculo"/>
          <w:noProof/>
          <w:color w:val="auto"/>
          <w:u w:val="none"/>
        </w:rPr>
        <w:t>Organización</w:t>
      </w:r>
      <w:r w:rsidRPr="001F3280">
        <w:rPr>
          <w:noProof/>
          <w:webHidden/>
        </w:rPr>
        <w:tab/>
      </w:r>
      <w:r w:rsidR="008875A7" w:rsidRPr="001F3280">
        <w:rPr>
          <w:noProof/>
          <w:webHidden/>
        </w:rPr>
        <w:t>5</w:t>
      </w:r>
    </w:p>
    <w:p w14:paraId="5BDC618B" w14:textId="4041CE0E" w:rsidR="002E2EFE" w:rsidRDefault="002E2EFE" w:rsidP="001E0773">
      <w:pPr>
        <w:pStyle w:val="TDC2"/>
        <w:tabs>
          <w:tab w:val="left" w:pos="1000"/>
        </w:tabs>
        <w:rPr>
          <w:noProof/>
          <w:webHidden/>
        </w:rPr>
      </w:pPr>
      <w:r w:rsidRPr="001F3280">
        <w:rPr>
          <w:rStyle w:val="Hipervnculo"/>
          <w:noProof/>
          <w:color w:val="auto"/>
          <w:u w:val="none"/>
        </w:rPr>
        <w:t>2.1</w:t>
      </w:r>
      <w:r w:rsidRPr="001F3280">
        <w:rPr>
          <w:rFonts w:ascii="Calibri" w:hAnsi="Calibri"/>
          <w:noProof/>
          <w:sz w:val="22"/>
          <w:szCs w:val="22"/>
          <w:lang w:eastAsia="es-AR"/>
        </w:rPr>
        <w:tab/>
      </w:r>
      <w:r w:rsidR="007401ED">
        <w:rPr>
          <w:rStyle w:val="Hipervnculo"/>
          <w:noProof/>
          <w:color w:val="auto"/>
          <w:u w:val="none"/>
        </w:rPr>
        <w:t xml:space="preserve">Determine el </w:t>
      </w:r>
      <w:r w:rsidR="001E0773">
        <w:rPr>
          <w:rStyle w:val="Hipervnculo"/>
          <w:noProof/>
          <w:color w:val="auto"/>
          <w:u w:val="none"/>
        </w:rPr>
        <w:t>limite y alcance del Sistema bajo estudio</w:t>
      </w:r>
      <w:r>
        <w:rPr>
          <w:noProof/>
          <w:webHidden/>
        </w:rPr>
        <w:tab/>
      </w:r>
      <w:r w:rsidR="008875A7">
        <w:rPr>
          <w:noProof/>
          <w:webHidden/>
        </w:rPr>
        <w:t>5</w:t>
      </w:r>
    </w:p>
    <w:p w14:paraId="165EB18A" w14:textId="26D4B77F" w:rsidR="007401ED" w:rsidRDefault="007401ED" w:rsidP="007401ED">
      <w:pPr>
        <w:ind w:firstLine="432"/>
      </w:pPr>
      <w:r>
        <w:t>2.2       Organigrama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  <w:r>
        <w:tab/>
      </w:r>
    </w:p>
    <w:p w14:paraId="4BF595B7" w14:textId="77777777" w:rsidR="001E0773" w:rsidRDefault="001E0773" w:rsidP="001E0773"/>
    <w:p w14:paraId="6ABD2BF3" w14:textId="77777777" w:rsidR="00EF11A0" w:rsidRDefault="001E0773" w:rsidP="001E0773">
      <w:r>
        <w:t>3.</w:t>
      </w:r>
      <w:r w:rsidR="001A0EC1">
        <w:t xml:space="preserve">      </w:t>
      </w:r>
      <w:r w:rsidR="000E506F">
        <w:t>Descripción</w:t>
      </w:r>
      <w:r w:rsidR="001A0EC1">
        <w:t xml:space="preserve"> del Proceso de Negocio</w:t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  <w:t xml:space="preserve">            6</w:t>
      </w:r>
      <w:r w:rsidR="00EF11A0">
        <w:tab/>
      </w:r>
    </w:p>
    <w:p w14:paraId="5B34A676" w14:textId="77777777" w:rsidR="00EF11A0" w:rsidRDefault="00EF11A0" w:rsidP="001E0773"/>
    <w:p w14:paraId="622E3F10" w14:textId="62BBA6F8" w:rsidR="001E0773" w:rsidRPr="007401ED" w:rsidRDefault="00EF11A0" w:rsidP="001E0773">
      <w:r>
        <w:t xml:space="preserve">4.      </w:t>
      </w:r>
      <w:r w:rsidR="00A94F99">
        <w:t>Modelo de Negocios con el BD</w:t>
      </w:r>
      <w:r w:rsidR="00BE222F">
        <w:t>P</w:t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  <w:t xml:space="preserve">            7</w:t>
      </w:r>
      <w:r>
        <w:tab/>
      </w:r>
      <w:r w:rsidR="001E0773">
        <w:t xml:space="preserve"> </w:t>
      </w:r>
    </w:p>
    <w:p w14:paraId="30970A0F" w14:textId="4682DF58" w:rsidR="002E2EFE" w:rsidRPr="00EF11A0" w:rsidRDefault="002E2EFE" w:rsidP="002E2EFE">
      <w:pPr>
        <w:pStyle w:val="TDC1"/>
        <w:rPr>
          <w:rFonts w:ascii="Calibri" w:hAnsi="Calibri"/>
          <w:noProof/>
          <w:sz w:val="22"/>
          <w:szCs w:val="22"/>
          <w:lang w:eastAsia="es-AR"/>
        </w:rPr>
      </w:pPr>
      <w:r w:rsidRPr="00EF11A0">
        <w:rPr>
          <w:rStyle w:val="Hipervnculo"/>
          <w:noProof/>
          <w:color w:val="auto"/>
          <w:u w:val="none"/>
        </w:rPr>
        <w:t>A.         Anexos</w:t>
      </w:r>
      <w:r w:rsidRPr="00EF11A0">
        <w:rPr>
          <w:noProof/>
          <w:webHidden/>
        </w:rPr>
        <w:tab/>
      </w:r>
      <w:r w:rsidR="00EF11A0" w:rsidRPr="00EF11A0">
        <w:rPr>
          <w:rStyle w:val="Hipervnculo"/>
          <w:noProof/>
          <w:color w:val="auto"/>
          <w:u w:val="none"/>
        </w:rPr>
        <w:t>7</w:t>
      </w:r>
    </w:p>
    <w:p w14:paraId="2D699EE4" w14:textId="77777777" w:rsidR="002E2EFE" w:rsidRDefault="002E2EFE" w:rsidP="002E2EFE">
      <w:r>
        <w:rPr>
          <w:b/>
          <w:bCs/>
          <w:lang w:val="es-ES"/>
        </w:rPr>
        <w:fldChar w:fldCharType="end"/>
      </w:r>
    </w:p>
    <w:p w14:paraId="48016892" w14:textId="77777777" w:rsidR="002E2EFE" w:rsidRPr="00416B37" w:rsidRDefault="002E2EFE" w:rsidP="002E2EFE">
      <w:pPr>
        <w:pStyle w:val="TDC2"/>
        <w:tabs>
          <w:tab w:val="left" w:pos="1000"/>
        </w:tabs>
        <w:rPr>
          <w:rStyle w:val="Hipervnculo"/>
          <w:noProof/>
        </w:rPr>
      </w:pPr>
    </w:p>
    <w:p w14:paraId="4BBD517A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386659" w:rsidRPr="006F34CD">
          <w:headerReference w:type="default" r:id="rId9"/>
          <w:footerReference w:type="default" r:id="rId10"/>
          <w:pgSz w:w="12240" w:h="15840"/>
          <w:pgMar w:top="3685" w:right="1440" w:bottom="1440" w:left="1440" w:header="720" w:footer="720" w:gutter="0"/>
          <w:cols w:space="720"/>
        </w:sectPr>
      </w:pPr>
    </w:p>
    <w:p w14:paraId="4BBD517B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la Empresa</w:t>
      </w:r>
    </w:p>
    <w:p w14:paraId="4BBD517C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FF"/>
        </w:rPr>
      </w:pPr>
    </w:p>
    <w:p w14:paraId="4BBD517D" w14:textId="77777777" w:rsidR="00386659" w:rsidRPr="006F34CD" w:rsidRDefault="00386659"/>
    <w:p w14:paraId="4BBD517E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BBD517F" w14:textId="77777777" w:rsidR="00386659" w:rsidRPr="006F34CD" w:rsidRDefault="00386659"/>
    <w:p w14:paraId="4BBD5180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 w:rsidRPr="006F34CD">
        <w:rPr>
          <w:rFonts w:ascii="Arial" w:eastAsia="Arial" w:hAnsi="Arial" w:cs="Arial"/>
          <w:b/>
          <w:color w:val="000000"/>
        </w:rPr>
        <w:t>Historia de la Organización</w:t>
      </w:r>
    </w:p>
    <w:p w14:paraId="4BBD5181" w14:textId="77777777" w:rsidR="00386659" w:rsidRPr="006F34CD" w:rsidRDefault="006628F5">
      <w:pPr>
        <w:widowControl/>
        <w:shd w:val="clear" w:color="auto" w:fill="FFFFFF"/>
        <w:ind w:left="1417"/>
        <w:jc w:val="both"/>
        <w:rPr>
          <w:rFonts w:eastAsia="Comfortaa"/>
          <w:i/>
          <w:color w:val="222222"/>
          <w:sz w:val="22"/>
          <w:szCs w:val="22"/>
        </w:rPr>
      </w:pPr>
      <w:r w:rsidRPr="006F34CD">
        <w:rPr>
          <w:rFonts w:ascii="Comfortaa" w:eastAsia="Comfortaa" w:hAnsi="Comfortaa" w:cs="Comfortaa"/>
          <w:i/>
          <w:color w:val="222222"/>
          <w:sz w:val="19"/>
          <w:szCs w:val="19"/>
        </w:rPr>
        <w:t>“</w:t>
      </w:r>
      <w:r w:rsidRPr="006F34CD">
        <w:rPr>
          <w:rFonts w:eastAsia="Comfortaa"/>
          <w:i/>
          <w:color w:val="222222"/>
          <w:sz w:val="22"/>
          <w:szCs w:val="22"/>
        </w:rPr>
        <w:t xml:space="preserve">Hace </w:t>
      </w:r>
      <w:r w:rsidRPr="006F34CD">
        <w:rPr>
          <w:rFonts w:eastAsia="Comfortaa"/>
          <w:b/>
          <w:i/>
          <w:color w:val="222222"/>
          <w:sz w:val="22"/>
          <w:szCs w:val="22"/>
        </w:rPr>
        <w:t>más de 70 años nacimos</w:t>
      </w:r>
      <w:r w:rsidRPr="006F34CD">
        <w:rPr>
          <w:rFonts w:eastAsia="Comfortaa"/>
          <w:i/>
          <w:color w:val="222222"/>
          <w:sz w:val="22"/>
          <w:szCs w:val="22"/>
        </w:rPr>
        <w:t xml:space="preserve"> como respuesta a la necesidad de un conjunto de docentes que se quedaba sin trabajo. Ellos pensaron que debían crear una institución que modificara la forma de concebir la educación. Fue así </w:t>
      </w:r>
      <w:proofErr w:type="gramStart"/>
      <w:r w:rsidRPr="006F34CD">
        <w:rPr>
          <w:rFonts w:eastAsia="Comfortaa"/>
          <w:i/>
          <w:color w:val="222222"/>
          <w:sz w:val="22"/>
          <w:szCs w:val="22"/>
        </w:rPr>
        <w:t>que</w:t>
      </w:r>
      <w:proofErr w:type="gramEnd"/>
      <w:r w:rsidRPr="006F34CD">
        <w:rPr>
          <w:rFonts w:eastAsia="Comfortaa"/>
          <w:i/>
          <w:color w:val="222222"/>
          <w:sz w:val="22"/>
          <w:szCs w:val="22"/>
        </w:rPr>
        <w:t xml:space="preserve"> dieron vida a la Primera Cooperativa de Enseñanza de Latinoa</w:t>
      </w:r>
      <w:r w:rsidRPr="006F34CD">
        <w:rPr>
          <w:rFonts w:eastAsia="Comfortaa"/>
          <w:i/>
          <w:color w:val="222222"/>
          <w:sz w:val="22"/>
          <w:szCs w:val="22"/>
        </w:rPr>
        <w:t xml:space="preserve">mérica:  nuestro </w:t>
      </w:r>
      <w:r w:rsidRPr="006F34CD">
        <w:rPr>
          <w:rFonts w:eastAsia="Comfortaa"/>
          <w:b/>
          <w:i/>
          <w:color w:val="222222"/>
          <w:sz w:val="22"/>
          <w:szCs w:val="22"/>
        </w:rPr>
        <w:t>Instituto Privado Tucumán</w:t>
      </w:r>
      <w:r w:rsidRPr="006F34CD">
        <w:rPr>
          <w:rFonts w:eastAsia="Comfortaa"/>
          <w:i/>
          <w:color w:val="222222"/>
          <w:sz w:val="22"/>
          <w:szCs w:val="22"/>
        </w:rPr>
        <w:t>.</w:t>
      </w:r>
    </w:p>
    <w:p w14:paraId="4BBD5182" w14:textId="77777777" w:rsidR="00386659" w:rsidRPr="006F34CD" w:rsidRDefault="006628F5">
      <w:pPr>
        <w:widowControl/>
        <w:shd w:val="clear" w:color="auto" w:fill="FFFFFF"/>
        <w:ind w:left="1417"/>
        <w:jc w:val="both"/>
        <w:rPr>
          <w:rFonts w:eastAsia="Comfortaa"/>
          <w:sz w:val="22"/>
          <w:szCs w:val="22"/>
        </w:rPr>
      </w:pPr>
      <w:r w:rsidRPr="006F34CD">
        <w:rPr>
          <w:rFonts w:eastAsia="Comfortaa"/>
          <w:i/>
          <w:color w:val="222222"/>
          <w:sz w:val="22"/>
          <w:szCs w:val="22"/>
        </w:rPr>
        <w:t xml:space="preserve">A lo largo de más de siete décadas enfrentamos muchos retos y obstáculos, que superamos enarbolando los valores cooperativos de la democracia, la igualdad, la equidad, la ayuda mutua y la solidaridad.” </w:t>
      </w:r>
      <w:proofErr w:type="spellStart"/>
      <w:r w:rsidRPr="006F34CD">
        <w:rPr>
          <w:rFonts w:eastAsia="Comfortaa"/>
          <w:i/>
          <w:color w:val="222222"/>
          <w:sz w:val="22"/>
          <w:szCs w:val="22"/>
        </w:rPr>
        <w:t>Agg</w:t>
      </w:r>
      <w:proofErr w:type="spellEnd"/>
      <w:r w:rsidRPr="006F34CD">
        <w:rPr>
          <w:rFonts w:eastAsia="Comfortaa"/>
          <w:i/>
          <w:color w:val="222222"/>
          <w:sz w:val="22"/>
          <w:szCs w:val="22"/>
        </w:rPr>
        <w:t xml:space="preserve"> Calle</w:t>
      </w:r>
    </w:p>
    <w:p w14:paraId="4BBD5183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 w:rsidRPr="006F34CD">
        <w:rPr>
          <w:rFonts w:ascii="Arial" w:eastAsia="Arial" w:hAnsi="Arial" w:cs="Arial"/>
          <w:b/>
          <w:color w:val="000000"/>
        </w:rPr>
        <w:t>Misión</w:t>
      </w:r>
    </w:p>
    <w:p w14:paraId="3ACD46AD" w14:textId="77777777" w:rsidR="000510B5" w:rsidRPr="000510B5" w:rsidRDefault="000510B5" w:rsidP="00051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</w:p>
    <w:p w14:paraId="2B3FC96A" w14:textId="77777777" w:rsidR="000510B5" w:rsidRDefault="000510B5" w:rsidP="005F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eastAsia="Comfortaa"/>
          <w:sz w:val="22"/>
          <w:szCs w:val="22"/>
        </w:rPr>
      </w:pPr>
      <w:r w:rsidRPr="000510B5">
        <w:rPr>
          <w:rFonts w:eastAsia="Comfortaa"/>
          <w:sz w:val="22"/>
          <w:szCs w:val="22"/>
        </w:rPr>
        <w:t>Como institución educativa es formar individuos íntegros, comprometidos y preparados para enfrentar los retos del mundo actual. Buscamos promover una educación de calidad, inclusiva y equitativa, que desarrolle habilidades, conocimientos y valores necesarios para el éxito personal y contribuir positivamente a la sociedad.</w:t>
      </w:r>
    </w:p>
    <w:p w14:paraId="4BBD5185" w14:textId="56A9FDB4" w:rsidR="00386659" w:rsidRPr="006F34CD" w:rsidRDefault="000510B5" w:rsidP="005F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eastAsia="Comfortaa"/>
          <w:sz w:val="22"/>
          <w:szCs w:val="22"/>
        </w:rPr>
      </w:pPr>
      <w:r>
        <w:rPr>
          <w:rFonts w:eastAsia="Comfortaa"/>
          <w:sz w:val="22"/>
          <w:szCs w:val="22"/>
        </w:rPr>
        <w:t>Como cooperativa</w:t>
      </w:r>
      <w:r w:rsidRPr="006F34CD">
        <w:rPr>
          <w:rFonts w:eastAsia="Comfortaa"/>
          <w:sz w:val="22"/>
          <w:szCs w:val="22"/>
        </w:rPr>
        <w:t xml:space="preserve"> garantizar la continuidad laboral de los docentes </w:t>
      </w:r>
      <w:r>
        <w:rPr>
          <w:rFonts w:eastAsia="Comfortaa"/>
          <w:sz w:val="22"/>
          <w:szCs w:val="22"/>
        </w:rPr>
        <w:t>y personal administrativo.</w:t>
      </w:r>
    </w:p>
    <w:p w14:paraId="4BBD5186" w14:textId="77777777" w:rsidR="00386659" w:rsidRPr="006F34CD" w:rsidRDefault="00386659">
      <w:pPr>
        <w:ind w:left="1429"/>
      </w:pPr>
    </w:p>
    <w:p w14:paraId="4BBD5187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 w:rsidRPr="006F34CD">
        <w:rPr>
          <w:rFonts w:ascii="Arial" w:eastAsia="Arial" w:hAnsi="Arial" w:cs="Arial"/>
          <w:b/>
          <w:color w:val="000000"/>
        </w:rPr>
        <w:t>Visión</w:t>
      </w:r>
    </w:p>
    <w:p w14:paraId="4BBD518A" w14:textId="2625FE39" w:rsidR="00386659" w:rsidRPr="006F34CD" w:rsidRDefault="0025468C" w:rsidP="0025468C">
      <w:pPr>
        <w:ind w:left="1429"/>
        <w:jc w:val="both"/>
      </w:pPr>
      <w:r w:rsidRPr="0025468C">
        <w:rPr>
          <w:rFonts w:eastAsia="Comfortaa"/>
          <w:sz w:val="22"/>
          <w:szCs w:val="22"/>
        </w:rPr>
        <w:t>Seremos reconocidos como una institución líder en la formación de individuos íntegros, comprometidos y altamente preparados para enfrentar con éxito los desafíos del mundo actual. Nuestra visión es convertirnos en un referente de excelencia educativa, donde la calidad, la inclusión y la equidad sean pilares fundamentales. Buscamos ser una fuente constante de innovación en la educación, brindando a nuestros estudiantes las habilidades, conocimientos y valores necesarios no solo para prosperar en sus vidas personales y profesionales, sino también para ser agentes de cambio positivo en la sociedad.</w:t>
      </w:r>
    </w:p>
    <w:p w14:paraId="4BBD518B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Objetivos y Valores </w:t>
      </w:r>
    </w:p>
    <w:p w14:paraId="4BBD518C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spacing w:before="60"/>
        <w:ind w:left="1417"/>
        <w:rPr>
          <w:rFonts w:eastAsia="Arial"/>
          <w:bCs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Ayuda mutua</w:t>
      </w:r>
    </w:p>
    <w:p w14:paraId="4BBD518D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</w:t>
      </w:r>
    </w:p>
    <w:p w14:paraId="4BBD518E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Democracia</w:t>
      </w:r>
    </w:p>
    <w:p w14:paraId="4BBD518F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Igualdad</w:t>
      </w:r>
    </w:p>
    <w:p w14:paraId="4BBD5190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Equidad</w:t>
      </w:r>
    </w:p>
    <w:p w14:paraId="4BBD5191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Solidaridad</w:t>
      </w:r>
    </w:p>
    <w:p w14:paraId="4BBD5192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Honestidad</w:t>
      </w:r>
    </w:p>
    <w:p w14:paraId="4BBD5193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Transparencia</w:t>
      </w:r>
    </w:p>
    <w:p w14:paraId="4BBD5194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 Social</w:t>
      </w:r>
    </w:p>
    <w:p w14:paraId="4BBD5195" w14:textId="317CBE1F" w:rsidR="00386659" w:rsidRPr="006F34CD" w:rsidRDefault="006F34CD">
      <w:pPr>
        <w:widowControl/>
        <w:numPr>
          <w:ilvl w:val="0"/>
          <w:numId w:val="2"/>
        </w:numPr>
        <w:shd w:val="clear" w:color="auto" w:fill="FFFFFF"/>
        <w:spacing w:after="20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Empatía</w:t>
      </w:r>
    </w:p>
    <w:p w14:paraId="4BBD5196" w14:textId="77777777" w:rsidR="00386659" w:rsidRPr="006F34CD" w:rsidRDefault="006628F5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  <w:r w:rsidRPr="006F34CD">
        <w:br w:type="page"/>
      </w:r>
    </w:p>
    <w:p w14:paraId="4BBD5197" w14:textId="77777777" w:rsidR="00386659" w:rsidRPr="006F34CD" w:rsidRDefault="00386659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</w:p>
    <w:p w14:paraId="4BBD5198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Organización</w:t>
      </w:r>
    </w:p>
    <w:p w14:paraId="4BBD5199" w14:textId="77777777" w:rsidR="00386659" w:rsidRPr="006F34CD" w:rsidRDefault="00386659"/>
    <w:p w14:paraId="4BBD519A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r w:rsidRPr="006F34CD">
        <w:rPr>
          <w:rFonts w:ascii="Arial" w:eastAsia="Arial" w:hAnsi="Arial" w:cs="Arial"/>
          <w:b/>
          <w:color w:val="000000"/>
        </w:rPr>
        <w:t xml:space="preserve">Determine el Límite y el Alcance del Sistema de </w:t>
      </w:r>
      <w:r w:rsidRPr="006F34CD">
        <w:rPr>
          <w:rFonts w:ascii="Arial" w:eastAsia="Arial" w:hAnsi="Arial" w:cs="Arial"/>
          <w:b/>
          <w:color w:val="000000"/>
        </w:rPr>
        <w:t>Estudio</w:t>
      </w:r>
    </w:p>
    <w:p w14:paraId="4BBD519B" w14:textId="77777777" w:rsidR="00386659" w:rsidRPr="006F34CD" w:rsidRDefault="006628F5">
      <w:pPr>
        <w:ind w:left="1418"/>
        <w:rPr>
          <w:rFonts w:ascii="Comfortaa" w:eastAsia="Comfortaa" w:hAnsi="Comfortaa" w:cs="Comfortaa"/>
        </w:rPr>
      </w:pPr>
      <w:r w:rsidRPr="006F34C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BD51B2" wp14:editId="4BBD51B3">
            <wp:simplePos x="0" y="0"/>
            <wp:positionH relativeFrom="column">
              <wp:posOffset>190500</wp:posOffset>
            </wp:positionH>
            <wp:positionV relativeFrom="paragraph">
              <wp:posOffset>123825</wp:posOffset>
            </wp:positionV>
            <wp:extent cx="2376488" cy="2645524"/>
            <wp:effectExtent l="0" t="0" r="0" b="0"/>
            <wp:wrapSquare wrapText="bothSides" distT="114300" distB="114300" distL="114300" distR="11430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45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D519C" w14:textId="30E61161" w:rsidR="00386659" w:rsidRPr="00F636DD" w:rsidRDefault="006628F5" w:rsidP="00F636DD">
      <w:pPr>
        <w:ind w:left="1418"/>
        <w:jc w:val="both"/>
        <w:rPr>
          <w:rFonts w:eastAsia="Comfortaa"/>
          <w:sz w:val="22"/>
          <w:szCs w:val="22"/>
        </w:rPr>
      </w:pPr>
      <w:r w:rsidRPr="00F636DD">
        <w:rPr>
          <w:rFonts w:eastAsia="Comfortaa"/>
          <w:sz w:val="22"/>
          <w:szCs w:val="22"/>
        </w:rPr>
        <w:t xml:space="preserve">Como representa el Diagrama, la institución tiene separado la Institución Educativa de la Cooperativa Gral. San Martín, nuestro estudio involucra a ambas partes, ya que justamente el proceso que consideramos para trabajar necesita del trabajo de </w:t>
      </w:r>
      <w:r w:rsidRPr="00F636DD">
        <w:rPr>
          <w:rFonts w:eastAsia="Comfortaa"/>
          <w:sz w:val="22"/>
          <w:szCs w:val="22"/>
        </w:rPr>
        <w:t xml:space="preserve">ambos miembros del Instituto Privado </w:t>
      </w:r>
      <w:r w:rsidR="006F34CD" w:rsidRPr="00F636DD">
        <w:rPr>
          <w:rFonts w:eastAsia="Comfortaa"/>
          <w:sz w:val="22"/>
          <w:szCs w:val="22"/>
        </w:rPr>
        <w:t>Tucumán</w:t>
      </w:r>
      <w:r w:rsidRPr="00F636DD">
        <w:rPr>
          <w:rFonts w:eastAsia="Comfortaa"/>
          <w:sz w:val="22"/>
          <w:szCs w:val="22"/>
        </w:rPr>
        <w:t>.</w:t>
      </w:r>
    </w:p>
    <w:p w14:paraId="4BBD519D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E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F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0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1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2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3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4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5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Organigrama  </w:t>
      </w:r>
    </w:p>
    <w:p w14:paraId="4BBD51A6" w14:textId="77777777" w:rsidR="00386659" w:rsidRPr="006F34CD" w:rsidRDefault="006628F5">
      <w:pPr>
        <w:widowControl/>
        <w:ind w:left="720"/>
      </w:pPr>
      <w:r w:rsidRPr="006F34CD">
        <w:rPr>
          <w:noProof/>
        </w:rPr>
        <w:drawing>
          <wp:inline distT="114300" distB="114300" distL="114300" distR="114300" wp14:anchorId="4BBD51B4" wp14:editId="4BBD51B5">
            <wp:extent cx="5943600" cy="330200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7" w14:textId="77777777" w:rsidR="00386659" w:rsidRPr="006409FA" w:rsidRDefault="006628F5">
      <w:pPr>
        <w:widowControl/>
        <w:rPr>
          <w:rFonts w:eastAsia="Comfortaa"/>
          <w:sz w:val="22"/>
          <w:szCs w:val="22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4BBD51A8" w14:textId="2B063924" w:rsidR="00386659" w:rsidRPr="006F34CD" w:rsidRDefault="00B95258">
      <w:pPr>
        <w:widowControl/>
        <w:spacing w:line="240" w:lineRule="auto"/>
      </w:pPr>
      <w:r w:rsidRPr="006F34CD"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BBD51B8" wp14:editId="5DBD8CB6">
                <wp:simplePos x="0" y="0"/>
                <wp:positionH relativeFrom="column">
                  <wp:posOffset>78537</wp:posOffset>
                </wp:positionH>
                <wp:positionV relativeFrom="paragraph">
                  <wp:posOffset>3011139</wp:posOffset>
                </wp:positionV>
                <wp:extent cx="2719388" cy="1187204"/>
                <wp:effectExtent l="19050" t="19050" r="2413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1187204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274E1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D51D1" w14:textId="77777777" w:rsidR="00386659" w:rsidRPr="006F34CD" w:rsidRDefault="003866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51B8" id="Rectángulo 7" o:spid="_x0000_s1026" style="position:absolute;margin-left:6.2pt;margin-top:237.1pt;width:214.15pt;height:93.5pt;z-index:251659264;visibility:visible;mso-wrap-style:square;mso-height-percent:0;mso-wrap-distance-left:9pt;mso-wrap-distance-top:9pt;mso-wrap-distance-right:9pt;mso-wrap-distance-bottom:9pt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" filled="f" strokecolor="#274e13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BD51D1" w14:textId="77777777" w:rsidR="00386659" w:rsidRPr="006F34CD" w:rsidRDefault="003866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6F34CD">
        <w:rPr>
          <w:noProof/>
        </w:rPr>
        <w:drawing>
          <wp:inline distT="114300" distB="114300" distL="114300" distR="114300" wp14:anchorId="4BBD51B6" wp14:editId="0A4EAC04">
            <wp:extent cx="6090927" cy="425584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927" cy="425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9" w14:textId="77777777" w:rsidR="00386659" w:rsidRDefault="006628F5">
      <w:pPr>
        <w:widowControl/>
        <w:spacing w:line="240" w:lineRule="auto"/>
        <w:rPr>
          <w:rFonts w:eastAsia="Comfortaa"/>
          <w:sz w:val="22"/>
          <w:szCs w:val="22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6A1EC371" w14:textId="77777777" w:rsidR="003B17E0" w:rsidRPr="006409FA" w:rsidRDefault="003B17E0">
      <w:pPr>
        <w:widowControl/>
        <w:spacing w:line="240" w:lineRule="auto"/>
        <w:rPr>
          <w:rFonts w:eastAsia="Comfortaa"/>
        </w:rPr>
      </w:pPr>
    </w:p>
    <w:p w14:paraId="4BBD51AA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Descripción del Proceso de Negocio</w:t>
      </w:r>
    </w:p>
    <w:p w14:paraId="4BBD51AD" w14:textId="025380A1" w:rsidR="00386659" w:rsidRPr="003B17E0" w:rsidRDefault="00011F35" w:rsidP="003B17E0">
      <w:pPr>
        <w:rPr>
          <w:rFonts w:eastAsia="Comfortaa"/>
          <w:b/>
          <w:bCs/>
          <w:sz w:val="22"/>
          <w:szCs w:val="22"/>
        </w:rPr>
      </w:pPr>
      <w:r w:rsidRPr="003B17E0">
        <w:rPr>
          <w:rFonts w:eastAsia="Comfortaa"/>
          <w:b/>
          <w:bCs/>
          <w:sz w:val="22"/>
          <w:szCs w:val="22"/>
        </w:rPr>
        <w:t>Proceso Gesti</w:t>
      </w:r>
      <w:r w:rsidR="003B17E0" w:rsidRPr="003B17E0">
        <w:rPr>
          <w:rFonts w:eastAsia="Comfortaa"/>
          <w:b/>
          <w:bCs/>
          <w:sz w:val="22"/>
          <w:szCs w:val="22"/>
        </w:rPr>
        <w:t>ó</w:t>
      </w:r>
      <w:r w:rsidRPr="003B17E0">
        <w:rPr>
          <w:rFonts w:eastAsia="Comfortaa"/>
          <w:b/>
          <w:bCs/>
          <w:sz w:val="22"/>
          <w:szCs w:val="22"/>
        </w:rPr>
        <w:t>n de Pagos</w:t>
      </w:r>
    </w:p>
    <w:p w14:paraId="1D3F97CF" w14:textId="65575F36" w:rsidR="00011F35" w:rsidRDefault="003B17E0" w:rsidP="000823C9">
      <w:pPr>
        <w:ind w:firstLine="432"/>
        <w:jc w:val="both"/>
      </w:pPr>
      <w:r>
        <w:t>El proceso comienza con la emisión de los cupones de pago en Tesorería, los cuales son entregados a cada alumno por el encargado de Tesorería. Los alumnos pueden pagar el cupón de pago mediante transferencia o si es en efectivo con depósitos en Rapipago. En el primer caso el encargado de Tesorería debe descargar el resumen de cuenta del banco y verificar nombre por nombre el pago efectuado por los alumnos. En el segundo caso el encargado de Tesorería debe descargar los pagos realizados en Rapipago y automáticamente se ven reflejados en el sistema. En caso de que el pago se haya realizado después de la fecha de vencimiento y el importe depositado no sea el correcto, el encargado de Tesorería debe comunicarse con el alumno para informarle la diferencia a pagar en la cuota. Una vez verificado el pago correcto, el encargado procede a generar la factura correspondiente y entregarle al alumno.</w:t>
      </w:r>
    </w:p>
    <w:p w14:paraId="5C1EEE5C" w14:textId="77777777" w:rsidR="000823C9" w:rsidRDefault="000823C9" w:rsidP="000823C9">
      <w:pPr>
        <w:jc w:val="both"/>
        <w:rPr>
          <w:b/>
          <w:bCs/>
        </w:rPr>
      </w:pPr>
    </w:p>
    <w:p w14:paraId="30A6CD57" w14:textId="6FED89F4" w:rsidR="000823C9" w:rsidRDefault="000823C9" w:rsidP="000823C9">
      <w:pPr>
        <w:jc w:val="both"/>
        <w:rPr>
          <w:b/>
          <w:bCs/>
          <w:sz w:val="22"/>
          <w:szCs w:val="22"/>
        </w:rPr>
      </w:pPr>
      <w:r w:rsidRPr="000823C9">
        <w:rPr>
          <w:b/>
          <w:bCs/>
          <w:sz w:val="22"/>
          <w:szCs w:val="22"/>
        </w:rPr>
        <w:t>Proceso Gestión de Inscripciones</w:t>
      </w:r>
    </w:p>
    <w:p w14:paraId="4F172713" w14:textId="15BE6724" w:rsidR="000823C9" w:rsidRPr="000823C9" w:rsidRDefault="000823C9" w:rsidP="000823C9">
      <w:pPr>
        <w:jc w:val="both"/>
      </w:pPr>
      <w:r>
        <w:t>El proceso comienza</w:t>
      </w:r>
      <w:r w:rsidR="0092232B">
        <w:t xml:space="preserve"> cuando el responsable del tutor</w:t>
      </w:r>
      <w:r w:rsidR="00F1200A">
        <w:t xml:space="preserve"> se presenta en la escuela y es derivado al encargado de la inscripción, que normalmente son dos profesores que se encuentra en la Biblioteca. </w:t>
      </w:r>
      <w:r w:rsidR="00DB4C76">
        <w:t>El encargado de la inscripción le hace una pequeña entrevista para evaluar las condiciones psicológicas y pedagógicas del aspirante</w:t>
      </w:r>
      <w:r w:rsidR="00E860DB">
        <w:t xml:space="preserve"> al ingreso</w:t>
      </w:r>
      <w:r w:rsidR="003616BB">
        <w:t>, dejando por sentado un breve informe que es enviado al Departamento de Orientación Escolar (DOE)</w:t>
      </w:r>
      <w:r w:rsidR="00E860DB">
        <w:t>.</w:t>
      </w:r>
      <w:r w:rsidR="00CE13A0">
        <w:t xml:space="preserve"> El DOE realiza una evaluación al alumno y a los padres por separado</w:t>
      </w:r>
      <w:r w:rsidR="00EC027C">
        <w:t xml:space="preserve">. Si el alumno es admitido, se le brinda un </w:t>
      </w:r>
      <w:r w:rsidR="009127C6">
        <w:t>cupón de</w:t>
      </w:r>
      <w:r w:rsidR="00BF7789">
        <w:t xml:space="preserve"> autorización </w:t>
      </w:r>
      <w:r w:rsidR="006F33E7">
        <w:t>que le da derecho a solicitar un cupón de pago para la inscripción</w:t>
      </w:r>
      <w:r w:rsidR="003E4C2F">
        <w:t xml:space="preserve"> que será abonado en Rapipago</w:t>
      </w:r>
      <w:r w:rsidR="006F33E7">
        <w:t>.</w:t>
      </w:r>
      <w:r w:rsidR="003E4C2F">
        <w:t xml:space="preserve"> Una vez abonado el cupón de pago,</w:t>
      </w:r>
      <w:r w:rsidR="00EB6CF9">
        <w:t xml:space="preserve"> se </w:t>
      </w:r>
      <w:r w:rsidR="00D75C25">
        <w:t xml:space="preserve">carga el </w:t>
      </w:r>
      <w:r w:rsidR="00033DC6">
        <w:t>numero de comprobante junto a los datos de el alumno y los tutores responsables</w:t>
      </w:r>
      <w:r w:rsidR="00EB6CF9">
        <w:t xml:space="preserve"> en la base de datos de Preceptoría</w:t>
      </w:r>
      <w:r w:rsidR="00DB3F99">
        <w:t>.</w:t>
      </w:r>
      <w:r w:rsidR="00033DC6">
        <w:t xml:space="preserve"> Una vez finalizada la carga se le genera un legajo al alumno</w:t>
      </w:r>
      <w:r w:rsidR="003B336C">
        <w:t xml:space="preserve">, pero el tutor debe volver a dar </w:t>
      </w:r>
      <w:r w:rsidR="003B336C">
        <w:lastRenderedPageBreak/>
        <w:t>los datos para que se le de el alta en la base de datos de Tesorería.</w:t>
      </w:r>
    </w:p>
    <w:p w14:paraId="4BBD51AE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Modelo el Negocio con el BPD</w:t>
      </w:r>
    </w:p>
    <w:p w14:paraId="4BBD51AF" w14:textId="77777777" w:rsidR="00386659" w:rsidRPr="006F34CD" w:rsidRDefault="006628F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A.         Anexos</w:t>
      </w:r>
    </w:p>
    <w:p w14:paraId="4BBD51B0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6F34CD">
        <w:rPr>
          <w:noProof/>
        </w:rPr>
        <w:drawing>
          <wp:inline distT="114300" distB="114300" distL="114300" distR="114300" wp14:anchorId="4BBD51BA" wp14:editId="4BBD51BB">
            <wp:extent cx="5940192" cy="2829654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92" cy="2829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B1" w14:textId="430D62A5" w:rsidR="00386659" w:rsidRDefault="00F0074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114300" distB="114300" distL="114300" distR="114300" wp14:anchorId="738E3B90" wp14:editId="369A9C9D">
            <wp:extent cx="5943600" cy="3302000"/>
            <wp:effectExtent l="0" t="0" r="0" b="0"/>
            <wp:docPr id="4" name="image4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66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4DAD" w14:textId="77777777" w:rsidR="007A78B6" w:rsidRPr="006F34CD" w:rsidRDefault="007A78B6">
      <w:pPr>
        <w:spacing w:line="240" w:lineRule="auto"/>
      </w:pPr>
      <w:r w:rsidRPr="006F34CD">
        <w:separator/>
      </w:r>
    </w:p>
  </w:endnote>
  <w:endnote w:type="continuationSeparator" w:id="0">
    <w:p w14:paraId="34211927" w14:textId="77777777" w:rsidR="007A78B6" w:rsidRPr="006F34CD" w:rsidRDefault="007A78B6">
      <w:pPr>
        <w:spacing w:line="240" w:lineRule="auto"/>
      </w:pPr>
      <w:r w:rsidRPr="006F34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B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659" w:rsidRPr="006F34CD" w14:paraId="4BBD5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C" w14:textId="77777777" w:rsidR="00386659" w:rsidRPr="006F34CD" w:rsidRDefault="003866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D" w14:textId="23BD0E7C" w:rsidR="00386659" w:rsidRPr="006F34CD" w:rsidRDefault="006628F5">
          <w:pPr>
            <w:jc w:val="center"/>
          </w:pPr>
          <w:r w:rsidRPr="006F34CD">
            <w:t xml:space="preserve">©Instituto Privado </w:t>
          </w:r>
          <w:r w:rsidR="006F34CD" w:rsidRPr="006F34CD">
            <w:t>Tucumán</w:t>
          </w:r>
          <w:r w:rsidRPr="006F34CD">
            <w:t xml:space="preserve">, 2023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E" w14:textId="6550804F" w:rsidR="00386659" w:rsidRPr="006F34CD" w:rsidRDefault="006628F5">
          <w:pPr>
            <w:jc w:val="right"/>
          </w:pPr>
          <w:r w:rsidRPr="006F34CD">
            <w:t xml:space="preserve">Pág.  </w:t>
          </w:r>
          <w:r w:rsidRPr="006F34CD">
            <w:fldChar w:fldCharType="begin"/>
          </w:r>
          <w:r w:rsidRPr="006F34CD">
            <w:instrText>PAGE</w:instrText>
          </w:r>
          <w:r w:rsidRPr="006F34CD">
            <w:fldChar w:fldCharType="separate"/>
          </w:r>
          <w:r w:rsidR="006F34CD" w:rsidRPr="006F34CD">
            <w:t>2</w:t>
          </w:r>
          <w:r w:rsidRPr="006F34CD">
            <w:fldChar w:fldCharType="end"/>
          </w:r>
        </w:p>
      </w:tc>
    </w:tr>
  </w:tbl>
  <w:p w14:paraId="4BBD51D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10B8" w14:textId="77777777" w:rsidR="007A78B6" w:rsidRPr="006F34CD" w:rsidRDefault="007A78B6">
      <w:pPr>
        <w:spacing w:line="240" w:lineRule="auto"/>
      </w:pPr>
      <w:r w:rsidRPr="006F34CD">
        <w:separator/>
      </w:r>
    </w:p>
  </w:footnote>
  <w:footnote w:type="continuationSeparator" w:id="0">
    <w:p w14:paraId="5E66E4B2" w14:textId="77777777" w:rsidR="007A78B6" w:rsidRPr="006F34CD" w:rsidRDefault="007A78B6">
      <w:pPr>
        <w:spacing w:line="240" w:lineRule="auto"/>
      </w:pPr>
      <w:r w:rsidRPr="006F34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BC" w14:textId="77777777" w:rsidR="00386659" w:rsidRPr="006F34CD" w:rsidRDefault="00386659">
    <w:pPr>
      <w:rPr>
        <w:sz w:val="24"/>
        <w:szCs w:val="24"/>
      </w:rPr>
    </w:pPr>
  </w:p>
  <w:p w14:paraId="4BBD51BD" w14:textId="77777777" w:rsidR="00386659" w:rsidRPr="006F34CD" w:rsidRDefault="00386659">
    <w:pPr>
      <w:pBdr>
        <w:top w:val="single" w:sz="6" w:space="1" w:color="000000"/>
      </w:pBdr>
      <w:rPr>
        <w:sz w:val="24"/>
        <w:szCs w:val="24"/>
      </w:rPr>
    </w:pPr>
  </w:p>
  <w:p w14:paraId="4BBD51BE" w14:textId="77777777" w:rsidR="00386659" w:rsidRPr="006F34CD" w:rsidRDefault="006628F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 w:rsidRPr="006F34CD">
      <w:rPr>
        <w:rFonts w:ascii="Arial" w:eastAsia="Arial" w:hAnsi="Arial" w:cs="Arial"/>
        <w:b/>
        <w:sz w:val="36"/>
        <w:szCs w:val="36"/>
      </w:rPr>
      <w:t>INSTITUTO PRIVADO TUCUMÁN</w:t>
    </w:r>
  </w:p>
  <w:p w14:paraId="4BBD51BF" w14:textId="77777777" w:rsidR="00386659" w:rsidRPr="006F34CD" w:rsidRDefault="00386659">
    <w:pPr>
      <w:pBdr>
        <w:bottom w:val="single" w:sz="6" w:space="1" w:color="000000"/>
      </w:pBdr>
      <w:jc w:val="right"/>
      <w:rPr>
        <w:sz w:val="24"/>
        <w:szCs w:val="24"/>
      </w:rPr>
    </w:pPr>
  </w:p>
  <w:p w14:paraId="4BBD51C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1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6659" w:rsidRPr="006F34CD" w14:paraId="4BBD51C4" w14:textId="77777777">
      <w:tc>
        <w:tcPr>
          <w:tcW w:w="6379" w:type="dxa"/>
          <w:tcMar>
            <w:top w:w="0" w:type="dxa"/>
            <w:bottom w:w="0" w:type="dxa"/>
          </w:tcMar>
        </w:tcPr>
        <w:p w14:paraId="4BBD51C2" w14:textId="75495AAD" w:rsidR="00386659" w:rsidRPr="006F34CD" w:rsidRDefault="006628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6F34CD">
            <w:rPr>
              <w:color w:val="000000"/>
            </w:rPr>
            <w:t>&lt;</w:t>
          </w:r>
          <w:r w:rsidR="00172BA0">
            <w:t xml:space="preserve"> </w:t>
          </w:r>
          <w:r w:rsidRPr="006628F5">
            <w:rPr>
              <w:color w:val="000000"/>
            </w:rPr>
            <w:t>Gestión de pagos e inscripción. IPT</w:t>
          </w:r>
          <w:r w:rsidRPr="006628F5">
            <w:rPr>
              <w:color w:val="000000"/>
            </w:rPr>
            <w:t xml:space="preserve"> </w:t>
          </w:r>
          <w:r w:rsidRPr="006F34CD">
            <w:rPr>
              <w:color w:val="000000"/>
            </w:rPr>
            <w:t>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3" w14:textId="769741EF" w:rsidR="00386659" w:rsidRPr="006F34CD" w:rsidRDefault="006628F5">
          <w:pPr>
            <w:tabs>
              <w:tab w:val="left" w:pos="1135"/>
            </w:tabs>
            <w:spacing w:before="40"/>
            <w:ind w:right="68"/>
          </w:pPr>
          <w:r w:rsidRPr="006F34CD">
            <w:t xml:space="preserve">  Versión:          1.</w:t>
          </w:r>
          <w:r w:rsidR="00172BA0">
            <w:t>2</w:t>
          </w:r>
        </w:p>
      </w:tc>
    </w:tr>
    <w:tr w:rsidR="00386659" w:rsidRPr="006F34CD" w14:paraId="4BBD51C7" w14:textId="77777777">
      <w:tc>
        <w:tcPr>
          <w:tcW w:w="6379" w:type="dxa"/>
          <w:tcMar>
            <w:top w:w="0" w:type="dxa"/>
            <w:bottom w:w="0" w:type="dxa"/>
          </w:tcMar>
        </w:tcPr>
        <w:p w14:paraId="4BBD51C5" w14:textId="77777777" w:rsidR="00386659" w:rsidRPr="006F34CD" w:rsidRDefault="006628F5">
          <w:r w:rsidRPr="006F34CD">
            <w:t>Modelado del Negocio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6" w14:textId="0BF62FDA" w:rsidR="00386659" w:rsidRPr="006F34CD" w:rsidRDefault="006628F5">
          <w:r w:rsidRPr="006F34CD">
            <w:t xml:space="preserve">  Fecha:              </w:t>
          </w:r>
          <w:r w:rsidR="00172BA0">
            <w:t>20</w:t>
          </w:r>
          <w:r w:rsidRPr="006F34CD">
            <w:t>/0</w:t>
          </w:r>
          <w:r w:rsidR="00172BA0">
            <w:t>9</w:t>
          </w:r>
          <w:r w:rsidRPr="006F34CD">
            <w:t>/2023</w:t>
          </w:r>
        </w:p>
      </w:tc>
    </w:tr>
    <w:tr w:rsidR="00386659" w:rsidRPr="006F34CD" w14:paraId="4BBD51C9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4BBD51C8" w14:textId="77777777" w:rsidR="00386659" w:rsidRPr="006F34CD" w:rsidRDefault="006628F5">
          <w:r w:rsidRPr="006F34CD">
            <w:t>Documento de la Empresa</w:t>
          </w:r>
        </w:p>
      </w:tc>
    </w:tr>
  </w:tbl>
  <w:p w14:paraId="4BBD51CA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3F66"/>
    <w:multiLevelType w:val="multilevel"/>
    <w:tmpl w:val="F80227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2625C"/>
    <w:multiLevelType w:val="multilevel"/>
    <w:tmpl w:val="70F4C2FA"/>
    <w:lvl w:ilvl="0">
      <w:start w:val="1"/>
      <w:numFmt w:val="upperLetter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612CF5"/>
    <w:multiLevelType w:val="multilevel"/>
    <w:tmpl w:val="DFA2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A1E6A"/>
    <w:multiLevelType w:val="multilevel"/>
    <w:tmpl w:val="163092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2156630">
    <w:abstractNumId w:val="1"/>
  </w:num>
  <w:num w:numId="2" w16cid:durableId="522595896">
    <w:abstractNumId w:val="2"/>
  </w:num>
  <w:num w:numId="3" w16cid:durableId="1463502571">
    <w:abstractNumId w:val="3"/>
  </w:num>
  <w:num w:numId="4" w16cid:durableId="5225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59"/>
    <w:rsid w:val="00011F35"/>
    <w:rsid w:val="00033DC6"/>
    <w:rsid w:val="000510B5"/>
    <w:rsid w:val="000823C9"/>
    <w:rsid w:val="00091317"/>
    <w:rsid w:val="000E506F"/>
    <w:rsid w:val="000E5E06"/>
    <w:rsid w:val="00111A24"/>
    <w:rsid w:val="00143B60"/>
    <w:rsid w:val="0015127A"/>
    <w:rsid w:val="00172BA0"/>
    <w:rsid w:val="001A0EC1"/>
    <w:rsid w:val="001E0773"/>
    <w:rsid w:val="001F3280"/>
    <w:rsid w:val="0025468C"/>
    <w:rsid w:val="002E2EFE"/>
    <w:rsid w:val="003616BB"/>
    <w:rsid w:val="00386659"/>
    <w:rsid w:val="003B17E0"/>
    <w:rsid w:val="003B336C"/>
    <w:rsid w:val="003B599B"/>
    <w:rsid w:val="003E4C2F"/>
    <w:rsid w:val="0045368F"/>
    <w:rsid w:val="005F55CE"/>
    <w:rsid w:val="006409FA"/>
    <w:rsid w:val="006628F5"/>
    <w:rsid w:val="006F33E7"/>
    <w:rsid w:val="006F34CD"/>
    <w:rsid w:val="007401ED"/>
    <w:rsid w:val="00784809"/>
    <w:rsid w:val="007A78B6"/>
    <w:rsid w:val="007C6AFF"/>
    <w:rsid w:val="00865A86"/>
    <w:rsid w:val="008875A7"/>
    <w:rsid w:val="008C31ED"/>
    <w:rsid w:val="009127C6"/>
    <w:rsid w:val="0092232B"/>
    <w:rsid w:val="00981060"/>
    <w:rsid w:val="00A94F99"/>
    <w:rsid w:val="00B95258"/>
    <w:rsid w:val="00BE222F"/>
    <w:rsid w:val="00BE443D"/>
    <w:rsid w:val="00BF7789"/>
    <w:rsid w:val="00CE13A0"/>
    <w:rsid w:val="00D75C25"/>
    <w:rsid w:val="00D76CF7"/>
    <w:rsid w:val="00DB3F99"/>
    <w:rsid w:val="00DB4C76"/>
    <w:rsid w:val="00E65414"/>
    <w:rsid w:val="00E860DB"/>
    <w:rsid w:val="00EB6CF9"/>
    <w:rsid w:val="00EC027C"/>
    <w:rsid w:val="00EF11A0"/>
    <w:rsid w:val="00F00741"/>
    <w:rsid w:val="00F1200A"/>
    <w:rsid w:val="00F21D85"/>
    <w:rsid w:val="00F30704"/>
    <w:rsid w:val="00F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13D"/>
  <w15:docId w15:val="{7DE683C3-746E-4DDB-B07A-85EBA6A7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s-AR" w:eastAsia="en-US"/>
    </w:rPr>
  </w:style>
  <w:style w:type="paragraph" w:styleId="Ttulo1">
    <w:name w:val="heading 1"/>
    <w:basedOn w:val="Normal"/>
    <w:next w:val="Normal"/>
    <w:uiPriority w:val="9"/>
    <w:qFormat/>
    <w:rsid w:val="0089683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F1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B1F12"/>
    <w:rPr>
      <w:rFonts w:ascii="Tahoma" w:hAnsi="Tahoma" w:cs="Tahoma"/>
      <w:sz w:val="16"/>
      <w:szCs w:val="16"/>
      <w:lang w:val="en-US" w:eastAsia="en-US"/>
    </w:rPr>
  </w:style>
  <w:style w:type="paragraph" w:customStyle="1" w:styleId="TtulodeTDC">
    <w:name w:val="Título de TDC"/>
    <w:aliases w:val="Título de la barra lateral"/>
    <w:basedOn w:val="Ttulo1"/>
    <w:next w:val="Normal"/>
    <w:uiPriority w:val="39"/>
    <w:unhideWhenUsed/>
    <w:qFormat/>
    <w:rsid w:val="003A499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634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138B7"/>
  </w:style>
  <w:style w:type="character" w:styleId="nfasis">
    <w:name w:val="Emphasis"/>
    <w:uiPriority w:val="20"/>
    <w:qFormat/>
    <w:rsid w:val="004138B7"/>
    <w:rPr>
      <w:i/>
      <w:i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8SIrSWgbVK8A9DqZbw9oGdeAGA==">CgMxLjAyCGguZ2pkZ3hzMgloLjMwajB6bGwyCWguMWZvYjl0ZTIJaC4zem55c2g3MgloLjJldDkycDAyCGgudHlqY3d0MgloLjNkeTZ2a204AHIhMXpha19SWUZGYzFRWFh0elFtamx5OTlSRVpvd1haZ2Rm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835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Mabel Torres</dc:creator>
  <cp:lastModifiedBy>Matias Ignacio Villafañe</cp:lastModifiedBy>
  <cp:revision>56</cp:revision>
  <dcterms:created xsi:type="dcterms:W3CDTF">2023-06-08T17:53:00Z</dcterms:created>
  <dcterms:modified xsi:type="dcterms:W3CDTF">2023-09-22T19:12:00Z</dcterms:modified>
</cp:coreProperties>
</file>