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A365D"/>
          <w:sz w:val="28"/>
        </w:rPr>
        <w:t>Urmia University - Faculty of Engineering</w:t>
        <w:br/>
        <w:t>Department of Computer Engineering</w:t>
      </w:r>
    </w:p>
    <w:p>
      <w:pPr>
        <w:spacing w:after="280"/>
        <w:jc w:val="center"/>
      </w:pPr>
      <w:r>
        <w:rPr>
          <w:rFonts w:ascii="Arial" w:hAnsi="Arial"/>
          <w:b/>
          <w:color w:val="2C3E50"/>
          <w:sz w:val="24"/>
        </w:rPr>
        <w:t>Deep Learning Course — Assignment #1</w:t>
        <w:br/>
        <w:t>Regression for Gold Price Prediction (SPDR Gold Shares - GLD)</w:t>
      </w:r>
    </w:p>
    <w:p>
      <w:pPr>
        <w:spacing w:after="320"/>
        <w:jc w:val="center"/>
      </w:pPr>
      <w:r>
        <w:rPr>
          <w:rFonts w:ascii="Arial" w:hAnsi="Arial"/>
          <w:i/>
          <w:color w:val="555555"/>
          <w:sz w:val="20"/>
        </w:rPr>
        <w:t>Student: Matin Sojoudi (متین سجودی) | Student ID: 401011244</w:t>
        <w:br/>
        <w:t>Instructor: Dr. Saleh Yousefi | Term: Autumn 2026</w:t>
      </w:r>
    </w:p>
    <w:p>
      <w:pPr>
        <w:jc w:val="center"/>
      </w:pPr>
      <w:r>
        <w:t>———————————————————————————————————————————————————————</w:t>
      </w:r>
    </w:p>
    <w:p>
      <w:pPr>
        <w:pStyle w:val="Heading1"/>
        <w:spacing w:before="240" w:after="80"/>
      </w:pPr>
      <w:r>
        <w:rPr>
          <w:rFonts w:ascii="Arial" w:hAnsi="Arial"/>
          <w:color w:val="1A365D"/>
        </w:rPr>
        <w:t>1. Objective</w:t>
      </w:r>
    </w:p>
    <w:p>
      <w:pPr>
        <w:spacing w:line="276" w:lineRule="auto"/>
      </w:pPr>
      <w:r>
        <w:t>The primary goal of this assignment is to develop, evaluate, and benchmark two classical supervised machine learning regression techniques—Ordinary Least Squares (Linear Regression) and L2-regularized Linear Regression (Ridge Regression)—to predict the next day's closing price of gold based on daily market parameters. Through this empirical study, we evaluate the models' predictive accuracy, generalizability, and robustness against market volatility.</w:t>
      </w:r>
    </w:p>
    <w:p>
      <w:pPr>
        <w:pStyle w:val="Heading1"/>
        <w:spacing w:before="240" w:after="80"/>
      </w:pPr>
      <w:r>
        <w:rPr>
          <w:rFonts w:ascii="Arial" w:hAnsi="Arial"/>
          <w:color w:val="1A365D"/>
        </w:rPr>
        <w:t>2. Dataset Description &amp; Preprocessing</w:t>
      </w:r>
    </w:p>
    <w:p>
      <w:r>
        <w:t>The benchmark historical dataset corresponds to SPDR Gold Shares (Ticker: GLD), spanning a comprehensive 7-year period from January 2, 2018 to December 31, 2024. The original dataset consists of daily market activity attributes:</w:t>
        <w:br/>
        <w:t>• Open, High, Low, Close (in USD)</w:t>
        <w:br/>
        <w:t>• Trading Volume (number of shares traded daily)</w:t>
        <w:br/>
        <w:br/>
        <w:t>Key Preprocessing Steps Executed:</w:t>
        <w:br/>
        <w:t>1. Time-series Alignment: Verified temporal ordering and sorted rows chronologically by trading date.</w:t>
        <w:br/>
        <w:t>2. Target Construction: Created the supervised label (Target_Next_Close) by shifting daily Close prices by -1 (t+1).</w:t>
        <w:br/>
        <w:t>3. Boundary Handling: Dropped the terminal record lacking the t+1 closing target, yielding 1,760 verified trading samples.</w:t>
        <w:br/>
        <w:t>4. Feature Normalization: Scaled the Volume attribute to millions of units to prevent numerical instability and scale distortion.</w:t>
        <w:br/>
        <w:t>5. Chronological Train/Test Partition: Applied an 80% / 20% sequential split without random shuffling to preserve temporal structure and prevent lookahead bias. The training set covers 1,408 days (2018-01-02 to 2023-08-07), and the test set covers 352 trading days (2023-08-08 to 2024-12-30).</w:t>
      </w:r>
    </w:p>
    <w:p>
      <w:pPr>
        <w:pStyle w:val="Heading1"/>
        <w:spacing w:before="240" w:after="80"/>
      </w:pPr>
      <w:r>
        <w:rPr>
          <w:rFonts w:ascii="Arial" w:hAnsi="Arial"/>
          <w:color w:val="1A365D"/>
        </w:rPr>
        <w:t>3. Model Architecture &amp; Theoretical Foundation</w:t>
      </w:r>
    </w:p>
    <w:p>
      <w:r>
        <w:t>• Linear Regression (OLS): Minimizes the sum of squared differences between observed and predicted targets without penalty:</w:t>
        <w:br/>
        <w:t xml:space="preserve">    Loss_OLS(w) = || y - Xw ||²</w:t>
        <w:br/>
        <w:br/>
        <w:t>• Ridge Regression: Implements L2-norm weight shrinkage (Tikhonov regularization) with hyperparameter alpha = 1.0:</w:t>
        <w:br/>
        <w:t xml:space="preserve">    Loss_Ridge(w) = || y - Xw ||² + alpha * || w ||²</w:t>
        <w:br/>
        <w:t>This regularization penalizes large regression coefficients, mitigating potential collinearity between daily High, Low, and Close features.</w:t>
      </w:r>
    </w:p>
    <w:p>
      <w:pPr>
        <w:pStyle w:val="Heading1"/>
        <w:spacing w:before="240" w:after="80"/>
      </w:pPr>
      <w:r>
        <w:rPr>
          <w:rFonts w:ascii="Arial" w:hAnsi="Arial"/>
          <w:color w:val="1A365D"/>
        </w:rPr>
        <w:t>4. Quantitative Evaluation &amp; Comparative Performance</w:t>
      </w:r>
    </w:p>
    <w:p>
      <w:r>
        <w:t>Both models were tested on the identical out-of-sample test partition (352 trading days). Performance was evaluated using:</w:t>
        <w:br/>
        <w:t>• Mean Absolute Error (MAE): Measures average prediction deviation in dollars.</w:t>
        <w:br/>
        <w:t>• Root Mean Squared Error (RMSE): Penalizes larger prediction anomalies.</w:t>
        <w:br/>
        <w:t>• Coefficient of Determination (R²): Quantifies the proportion of explained variance.</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40" w:type="dxa"/>
              <w:bottom w:w="140" w:type="dxa"/>
              <w:left w:w="150" w:type="dxa"/>
              <w:right w:w="150" w:type="dxa"/>
            </w:tcMar>
          </w:tcPr>
          <w:p>
            <w:pPr>
              <w:jc w:val="center"/>
            </w:pPr>
            <w:r>
              <w:rPr>
                <w:rFonts w:ascii="Arial" w:hAnsi="Arial"/>
                <w:b/>
                <w:color w:val="FFFFFF"/>
                <w:sz w:val="20"/>
              </w:rPr>
              <w:t>Model</w:t>
            </w:r>
          </w:p>
        </w:tc>
        <w:tc>
          <w:tcPr>
            <w:tcW w:type="dxa" w:w="2340"/>
            <w:shd w:fill="1A365D"/>
            <w:tcMar>
              <w:top w:w="140" w:type="dxa"/>
              <w:bottom w:w="140" w:type="dxa"/>
              <w:left w:w="150" w:type="dxa"/>
              <w:right w:w="150" w:type="dxa"/>
            </w:tcMar>
          </w:tcPr>
          <w:p>
            <w:pPr>
              <w:jc w:val="center"/>
            </w:pPr>
            <w:r>
              <w:rPr>
                <w:rFonts w:ascii="Arial" w:hAnsi="Arial"/>
                <w:b/>
                <w:color w:val="FFFFFF"/>
                <w:sz w:val="20"/>
              </w:rPr>
              <w:t>MAE (USD)</w:t>
            </w:r>
          </w:p>
        </w:tc>
        <w:tc>
          <w:tcPr>
            <w:tcW w:type="dxa" w:w="2340"/>
            <w:shd w:fill="1A365D"/>
            <w:tcMar>
              <w:top w:w="140" w:type="dxa"/>
              <w:bottom w:w="140" w:type="dxa"/>
              <w:left w:w="150" w:type="dxa"/>
              <w:right w:w="150" w:type="dxa"/>
            </w:tcMar>
          </w:tcPr>
          <w:p>
            <w:pPr>
              <w:jc w:val="center"/>
            </w:pPr>
            <w:r>
              <w:rPr>
                <w:rFonts w:ascii="Arial" w:hAnsi="Arial"/>
                <w:b/>
                <w:color w:val="FFFFFF"/>
                <w:sz w:val="20"/>
              </w:rPr>
              <w:t>RMSE (USD)</w:t>
            </w:r>
          </w:p>
        </w:tc>
        <w:tc>
          <w:tcPr>
            <w:tcW w:type="dxa" w:w="2340"/>
            <w:shd w:fill="1A365D"/>
            <w:tcMar>
              <w:top w:w="140" w:type="dxa"/>
              <w:bottom w:w="140" w:type="dxa"/>
              <w:left w:w="150" w:type="dxa"/>
              <w:right w:w="150" w:type="dxa"/>
            </w:tcMar>
          </w:tcPr>
          <w:p>
            <w:pPr>
              <w:jc w:val="center"/>
            </w:pPr>
            <w:r>
              <w:rPr>
                <w:rFonts w:ascii="Arial" w:hAnsi="Arial"/>
                <w:b/>
                <w:color w:val="FFFFFF"/>
                <w:sz w:val="20"/>
              </w:rPr>
              <w:t>R² Score</w:t>
            </w:r>
          </w:p>
        </w:tc>
      </w:tr>
      <w:tr>
        <w:tc>
          <w:tcPr>
            <w:tcW w:type="dxa" w:w="2340"/>
            <w:shd w:fill="FFFFFF"/>
            <w:tcMar>
              <w:top w:w="100" w:type="dxa"/>
              <w:bottom w:w="100" w:type="dxa"/>
              <w:left w:w="150" w:type="dxa"/>
              <w:right w:w="150" w:type="dxa"/>
            </w:tcMar>
          </w:tcPr>
          <w:p>
            <w:pPr>
              <w:jc w:val="center"/>
            </w:pPr>
            <w:r>
              <w:rPr>
                <w:rFonts w:ascii="Arial" w:hAnsi="Arial"/>
                <w:sz w:val="19"/>
              </w:rPr>
              <w:t>Linear Regression (OLS)</w:t>
            </w:r>
          </w:p>
        </w:tc>
        <w:tc>
          <w:tcPr>
            <w:tcW w:type="dxa" w:w="2340"/>
            <w:shd w:fill="FFFFFF"/>
            <w:tcMar>
              <w:top w:w="100" w:type="dxa"/>
              <w:bottom w:w="100" w:type="dxa"/>
              <w:left w:w="150" w:type="dxa"/>
              <w:right w:w="150" w:type="dxa"/>
            </w:tcMar>
          </w:tcPr>
          <w:p>
            <w:pPr>
              <w:jc w:val="center"/>
            </w:pPr>
            <w:r>
              <w:rPr>
                <w:rFonts w:ascii="Arial" w:hAnsi="Arial"/>
                <w:sz w:val="19"/>
              </w:rPr>
              <w:t>1.4745</w:t>
            </w:r>
          </w:p>
        </w:tc>
        <w:tc>
          <w:tcPr>
            <w:tcW w:type="dxa" w:w="2340"/>
            <w:shd w:fill="FFFFFF"/>
            <w:tcMar>
              <w:top w:w="100" w:type="dxa"/>
              <w:bottom w:w="100" w:type="dxa"/>
              <w:left w:w="150" w:type="dxa"/>
              <w:right w:w="150" w:type="dxa"/>
            </w:tcMar>
          </w:tcPr>
          <w:p>
            <w:pPr>
              <w:jc w:val="center"/>
            </w:pPr>
            <w:r>
              <w:rPr>
                <w:rFonts w:ascii="Arial" w:hAnsi="Arial"/>
                <w:sz w:val="19"/>
              </w:rPr>
              <w:t>1.9759</w:t>
            </w:r>
          </w:p>
        </w:tc>
        <w:tc>
          <w:tcPr>
            <w:tcW w:type="dxa" w:w="2340"/>
            <w:shd w:fill="FFFFFF"/>
            <w:tcMar>
              <w:top w:w="100" w:type="dxa"/>
              <w:bottom w:w="100" w:type="dxa"/>
              <w:left w:w="150" w:type="dxa"/>
              <w:right w:w="150" w:type="dxa"/>
            </w:tcMar>
          </w:tcPr>
          <w:p>
            <w:pPr>
              <w:jc w:val="center"/>
            </w:pPr>
            <w:r>
              <w:rPr>
                <w:rFonts w:ascii="Arial" w:hAnsi="Arial"/>
                <w:sz w:val="19"/>
              </w:rPr>
              <w:t>0.9938</w:t>
            </w:r>
          </w:p>
        </w:tc>
      </w:tr>
      <w:tr>
        <w:tc>
          <w:tcPr>
            <w:tcW w:type="dxa" w:w="2340"/>
            <w:shd w:fill="F7FAFC"/>
            <w:tcMar>
              <w:top w:w="100" w:type="dxa"/>
              <w:bottom w:w="100" w:type="dxa"/>
              <w:left w:w="150" w:type="dxa"/>
              <w:right w:w="150" w:type="dxa"/>
            </w:tcMar>
          </w:tcPr>
          <w:p>
            <w:pPr>
              <w:jc w:val="center"/>
            </w:pPr>
            <w:r>
              <w:rPr>
                <w:rFonts w:ascii="Arial" w:hAnsi="Arial"/>
                <w:sz w:val="19"/>
              </w:rPr>
              <w:t>Ridge Regression (alpha=1.0)</w:t>
            </w:r>
          </w:p>
        </w:tc>
        <w:tc>
          <w:tcPr>
            <w:tcW w:type="dxa" w:w="2340"/>
            <w:shd w:fill="F7FAFC"/>
            <w:tcMar>
              <w:top w:w="100" w:type="dxa"/>
              <w:bottom w:w="100" w:type="dxa"/>
              <w:left w:w="150" w:type="dxa"/>
              <w:right w:w="150" w:type="dxa"/>
            </w:tcMar>
          </w:tcPr>
          <w:p>
            <w:pPr>
              <w:jc w:val="center"/>
            </w:pPr>
            <w:r>
              <w:rPr>
                <w:rFonts w:ascii="Arial" w:hAnsi="Arial"/>
                <w:sz w:val="19"/>
              </w:rPr>
              <w:t>1.4745</w:t>
            </w:r>
          </w:p>
        </w:tc>
        <w:tc>
          <w:tcPr>
            <w:tcW w:type="dxa" w:w="2340"/>
            <w:shd w:fill="F7FAFC"/>
            <w:tcMar>
              <w:top w:w="100" w:type="dxa"/>
              <w:bottom w:w="100" w:type="dxa"/>
              <w:left w:w="150" w:type="dxa"/>
              <w:right w:w="150" w:type="dxa"/>
            </w:tcMar>
          </w:tcPr>
          <w:p>
            <w:pPr>
              <w:jc w:val="center"/>
            </w:pPr>
            <w:r>
              <w:rPr>
                <w:rFonts w:ascii="Arial" w:hAnsi="Arial"/>
                <w:sz w:val="19"/>
              </w:rPr>
              <w:t>1.9757</w:t>
            </w:r>
          </w:p>
        </w:tc>
        <w:tc>
          <w:tcPr>
            <w:tcW w:type="dxa" w:w="2340"/>
            <w:shd w:fill="F7FAFC"/>
            <w:tcMar>
              <w:top w:w="100" w:type="dxa"/>
              <w:bottom w:w="100" w:type="dxa"/>
              <w:left w:w="150" w:type="dxa"/>
              <w:right w:w="150" w:type="dxa"/>
            </w:tcMar>
          </w:tcPr>
          <w:p>
            <w:pPr>
              <w:jc w:val="center"/>
            </w:pPr>
            <w:r>
              <w:rPr>
                <w:rFonts w:ascii="Arial" w:hAnsi="Arial"/>
                <w:sz w:val="19"/>
              </w:rPr>
              <w:t>0.9938</w:t>
            </w:r>
          </w:p>
        </w:tc>
      </w:tr>
    </w:tbl>
    <w:p>
      <w:pPr>
        <w:spacing w:after="160"/>
      </w:pPr>
    </w:p>
    <w:p>
      <w:r>
        <w:t>Table 2: Representative Predictions vs. Ground Truth on the Test Set:</w:t>
      </w:r>
    </w:p>
    <w:tbl>
      <w:tblPr>
        <w:tblW w:type="auto" w:w="0"/>
        <w:jc w:val="center"/>
        <w:tblLook w:firstColumn="1" w:firstRow="1" w:lastColumn="0" w:lastRow="0" w:noHBand="0" w:noVBand="1" w:val="04A0"/>
      </w:tblPr>
      <w:tblGrid>
        <w:gridCol w:w="2340"/>
        <w:gridCol w:w="2340"/>
        <w:gridCol w:w="2340"/>
        <w:gridCol w:w="2340"/>
      </w:tblGrid>
      <w:tr>
        <w:tc>
          <w:tcPr>
            <w:tcW w:type="dxa" w:w="2340"/>
            <w:shd w:fill="2C3E50"/>
            <w:tcMar>
              <w:top w:w="120" w:type="dxa"/>
              <w:bottom w:w="120" w:type="dxa"/>
              <w:left w:w="150" w:type="dxa"/>
              <w:right w:w="150" w:type="dxa"/>
            </w:tcMar>
          </w:tcPr>
          <w:p>
            <w:pPr>
              <w:jc w:val="center"/>
            </w:pPr>
            <w:r>
              <w:rPr>
                <w:rFonts w:ascii="Arial" w:hAnsi="Arial"/>
                <w:b/>
                <w:color w:val="FFFFFF"/>
                <w:sz w:val="19"/>
              </w:rPr>
              <w:t>Date</w:t>
            </w:r>
          </w:p>
        </w:tc>
        <w:tc>
          <w:tcPr>
            <w:tcW w:type="dxa" w:w="2340"/>
            <w:shd w:fill="2C3E50"/>
            <w:tcMar>
              <w:top w:w="120" w:type="dxa"/>
              <w:bottom w:w="120" w:type="dxa"/>
              <w:left w:w="150" w:type="dxa"/>
              <w:right w:w="150" w:type="dxa"/>
            </w:tcMar>
          </w:tcPr>
          <w:p>
            <w:pPr>
              <w:jc w:val="center"/>
            </w:pPr>
            <w:r>
              <w:rPr>
                <w:rFonts w:ascii="Arial" w:hAnsi="Arial"/>
                <w:b/>
                <w:color w:val="FFFFFF"/>
                <w:sz w:val="19"/>
              </w:rPr>
              <w:t>Actual Close (USD)</w:t>
            </w:r>
          </w:p>
        </w:tc>
        <w:tc>
          <w:tcPr>
            <w:tcW w:type="dxa" w:w="2340"/>
            <w:shd w:fill="2C3E50"/>
            <w:tcMar>
              <w:top w:w="120" w:type="dxa"/>
              <w:bottom w:w="120" w:type="dxa"/>
              <w:left w:w="150" w:type="dxa"/>
              <w:right w:w="150" w:type="dxa"/>
            </w:tcMar>
          </w:tcPr>
          <w:p>
            <w:pPr>
              <w:jc w:val="center"/>
            </w:pPr>
            <w:r>
              <w:rPr>
                <w:rFonts w:ascii="Arial" w:hAnsi="Arial"/>
                <w:b/>
                <w:color w:val="FFFFFF"/>
                <w:sz w:val="19"/>
              </w:rPr>
              <w:t>LR Predicted (USD)</w:t>
            </w:r>
          </w:p>
        </w:tc>
        <w:tc>
          <w:tcPr>
            <w:tcW w:type="dxa" w:w="2340"/>
            <w:shd w:fill="2C3E50"/>
            <w:tcMar>
              <w:top w:w="120" w:type="dxa"/>
              <w:bottom w:w="120" w:type="dxa"/>
              <w:left w:w="150" w:type="dxa"/>
              <w:right w:w="150" w:type="dxa"/>
            </w:tcMar>
          </w:tcPr>
          <w:p>
            <w:pPr>
              <w:jc w:val="center"/>
            </w:pPr>
            <w:r>
              <w:rPr>
                <w:rFonts w:ascii="Arial" w:hAnsi="Arial"/>
                <w:b/>
                <w:color w:val="FFFFFF"/>
                <w:sz w:val="19"/>
              </w:rPr>
              <w:t>Ridge Predicted (USD)</w:t>
            </w:r>
          </w:p>
        </w:tc>
      </w:tr>
      <w:tr>
        <w:tc>
          <w:tcPr>
            <w:tcW w:type="dxa" w:w="2340"/>
            <w:shd w:fill="FFFFFF"/>
            <w:tcMar>
              <w:top w:w="80" w:type="dxa"/>
              <w:bottom w:w="80" w:type="dxa"/>
              <w:left w:w="150" w:type="dxa"/>
              <w:right w:w="150" w:type="dxa"/>
            </w:tcMar>
          </w:tcPr>
          <w:p>
            <w:pPr>
              <w:jc w:val="center"/>
            </w:pPr>
            <w:r>
              <w:rPr>
                <w:rFonts w:ascii="Arial" w:hAnsi="Arial"/>
                <w:sz w:val="18"/>
              </w:rPr>
              <w:t>2024-12-16</w:t>
            </w:r>
          </w:p>
        </w:tc>
        <w:tc>
          <w:tcPr>
            <w:tcW w:type="dxa" w:w="2340"/>
            <w:shd w:fill="FFFFFF"/>
            <w:tcMar>
              <w:top w:w="80" w:type="dxa"/>
              <w:bottom w:w="80" w:type="dxa"/>
              <w:left w:w="150" w:type="dxa"/>
              <w:right w:w="150" w:type="dxa"/>
            </w:tcMar>
          </w:tcPr>
          <w:p>
            <w:pPr>
              <w:jc w:val="center"/>
            </w:pPr>
            <w:r>
              <w:rPr>
                <w:rFonts w:ascii="Arial" w:hAnsi="Arial"/>
                <w:sz w:val="18"/>
              </w:rPr>
              <w:t>243.94</w:t>
            </w:r>
          </w:p>
        </w:tc>
        <w:tc>
          <w:tcPr>
            <w:tcW w:type="dxa" w:w="2340"/>
            <w:shd w:fill="FFFFFF"/>
            <w:tcMar>
              <w:top w:w="80" w:type="dxa"/>
              <w:bottom w:w="80" w:type="dxa"/>
              <w:left w:w="150" w:type="dxa"/>
              <w:right w:w="150" w:type="dxa"/>
            </w:tcMar>
          </w:tcPr>
          <w:p>
            <w:pPr>
              <w:jc w:val="center"/>
            </w:pPr>
            <w:r>
              <w:rPr>
                <w:rFonts w:ascii="Arial" w:hAnsi="Arial"/>
                <w:sz w:val="18"/>
              </w:rPr>
              <w:t>244.80</w:t>
            </w:r>
          </w:p>
        </w:tc>
        <w:tc>
          <w:tcPr>
            <w:tcW w:type="dxa" w:w="2340"/>
            <w:shd w:fill="FFFFFF"/>
            <w:tcMar>
              <w:top w:w="80" w:type="dxa"/>
              <w:bottom w:w="80" w:type="dxa"/>
              <w:left w:w="150" w:type="dxa"/>
              <w:right w:w="150" w:type="dxa"/>
            </w:tcMar>
          </w:tcPr>
          <w:p>
            <w:pPr>
              <w:jc w:val="center"/>
            </w:pPr>
            <w:r>
              <w:rPr>
                <w:rFonts w:ascii="Arial" w:hAnsi="Arial"/>
                <w:sz w:val="18"/>
              </w:rPr>
              <w:t>244.80</w:t>
            </w:r>
          </w:p>
        </w:tc>
      </w:tr>
      <w:tr>
        <w:tc>
          <w:tcPr>
            <w:tcW w:type="dxa" w:w="2340"/>
            <w:shd w:fill="F8F9FA"/>
            <w:tcMar>
              <w:top w:w="80" w:type="dxa"/>
              <w:bottom w:w="80" w:type="dxa"/>
              <w:left w:w="150" w:type="dxa"/>
              <w:right w:w="150" w:type="dxa"/>
            </w:tcMar>
          </w:tcPr>
          <w:p>
            <w:pPr>
              <w:jc w:val="center"/>
            </w:pPr>
            <w:r>
              <w:rPr>
                <w:rFonts w:ascii="Arial" w:hAnsi="Arial"/>
                <w:sz w:val="18"/>
              </w:rPr>
              <w:t>2024-12-17</w:t>
            </w:r>
          </w:p>
        </w:tc>
        <w:tc>
          <w:tcPr>
            <w:tcW w:type="dxa" w:w="2340"/>
            <w:shd w:fill="F8F9FA"/>
            <w:tcMar>
              <w:top w:w="80" w:type="dxa"/>
              <w:bottom w:w="80" w:type="dxa"/>
              <w:left w:w="150" w:type="dxa"/>
              <w:right w:w="150" w:type="dxa"/>
            </w:tcMar>
          </w:tcPr>
          <w:p>
            <w:pPr>
              <w:jc w:val="center"/>
            </w:pPr>
            <w:r>
              <w:rPr>
                <w:rFonts w:ascii="Arial" w:hAnsi="Arial"/>
                <w:sz w:val="18"/>
              </w:rPr>
              <w:t>239.26</w:t>
            </w:r>
          </w:p>
        </w:tc>
        <w:tc>
          <w:tcPr>
            <w:tcW w:type="dxa" w:w="2340"/>
            <w:shd w:fill="F8F9FA"/>
            <w:tcMar>
              <w:top w:w="80" w:type="dxa"/>
              <w:bottom w:w="80" w:type="dxa"/>
              <w:left w:w="150" w:type="dxa"/>
              <w:right w:w="150" w:type="dxa"/>
            </w:tcMar>
          </w:tcPr>
          <w:p>
            <w:pPr>
              <w:jc w:val="center"/>
            </w:pPr>
            <w:r>
              <w:rPr>
                <w:rFonts w:ascii="Arial" w:hAnsi="Arial"/>
                <w:sz w:val="18"/>
              </w:rPr>
              <w:t>243.87</w:t>
            </w:r>
          </w:p>
        </w:tc>
        <w:tc>
          <w:tcPr>
            <w:tcW w:type="dxa" w:w="2340"/>
            <w:shd w:fill="F8F9FA"/>
            <w:tcMar>
              <w:top w:w="80" w:type="dxa"/>
              <w:bottom w:w="80" w:type="dxa"/>
              <w:left w:w="150" w:type="dxa"/>
              <w:right w:w="150" w:type="dxa"/>
            </w:tcMar>
          </w:tcPr>
          <w:p>
            <w:pPr>
              <w:jc w:val="center"/>
            </w:pPr>
            <w:r>
              <w:rPr>
                <w:rFonts w:ascii="Arial" w:hAnsi="Arial"/>
                <w:sz w:val="18"/>
              </w:rPr>
              <w:t>243.87</w:t>
            </w:r>
          </w:p>
        </w:tc>
      </w:tr>
      <w:tr>
        <w:tc>
          <w:tcPr>
            <w:tcW w:type="dxa" w:w="2340"/>
            <w:shd w:fill="FFFFFF"/>
            <w:tcMar>
              <w:top w:w="80" w:type="dxa"/>
              <w:bottom w:w="80" w:type="dxa"/>
              <w:left w:w="150" w:type="dxa"/>
              <w:right w:w="150" w:type="dxa"/>
            </w:tcMar>
          </w:tcPr>
          <w:p>
            <w:pPr>
              <w:jc w:val="center"/>
            </w:pPr>
            <w:r>
              <w:rPr>
                <w:rFonts w:ascii="Arial" w:hAnsi="Arial"/>
                <w:sz w:val="18"/>
              </w:rPr>
              <w:t>2024-12-18</w:t>
            </w:r>
          </w:p>
        </w:tc>
        <w:tc>
          <w:tcPr>
            <w:tcW w:type="dxa" w:w="2340"/>
            <w:shd w:fill="FFFFFF"/>
            <w:tcMar>
              <w:top w:w="80" w:type="dxa"/>
              <w:bottom w:w="80" w:type="dxa"/>
              <w:left w:w="150" w:type="dxa"/>
              <w:right w:w="150" w:type="dxa"/>
            </w:tcMar>
          </w:tcPr>
          <w:p>
            <w:pPr>
              <w:jc w:val="center"/>
            </w:pPr>
            <w:r>
              <w:rPr>
                <w:rFonts w:ascii="Arial" w:hAnsi="Arial"/>
                <w:sz w:val="18"/>
              </w:rPr>
              <w:t>239.60</w:t>
            </w:r>
          </w:p>
        </w:tc>
        <w:tc>
          <w:tcPr>
            <w:tcW w:type="dxa" w:w="2340"/>
            <w:shd w:fill="FFFFFF"/>
            <w:tcMar>
              <w:top w:w="80" w:type="dxa"/>
              <w:bottom w:w="80" w:type="dxa"/>
              <w:left w:w="150" w:type="dxa"/>
              <w:right w:w="150" w:type="dxa"/>
            </w:tcMar>
          </w:tcPr>
          <w:p>
            <w:pPr>
              <w:jc w:val="center"/>
            </w:pPr>
            <w:r>
              <w:rPr>
                <w:rFonts w:ascii="Arial" w:hAnsi="Arial"/>
                <w:sz w:val="18"/>
              </w:rPr>
              <w:t>238.77</w:t>
            </w:r>
          </w:p>
        </w:tc>
        <w:tc>
          <w:tcPr>
            <w:tcW w:type="dxa" w:w="2340"/>
            <w:shd w:fill="FFFFFF"/>
            <w:tcMar>
              <w:top w:w="80" w:type="dxa"/>
              <w:bottom w:w="80" w:type="dxa"/>
              <w:left w:w="150" w:type="dxa"/>
              <w:right w:w="150" w:type="dxa"/>
            </w:tcMar>
          </w:tcPr>
          <w:p>
            <w:pPr>
              <w:jc w:val="center"/>
            </w:pPr>
            <w:r>
              <w:rPr>
                <w:rFonts w:ascii="Arial" w:hAnsi="Arial"/>
                <w:sz w:val="18"/>
              </w:rPr>
              <w:t>238.78</w:t>
            </w:r>
          </w:p>
        </w:tc>
      </w:tr>
      <w:tr>
        <w:tc>
          <w:tcPr>
            <w:tcW w:type="dxa" w:w="2340"/>
            <w:shd w:fill="F8F9FA"/>
            <w:tcMar>
              <w:top w:w="80" w:type="dxa"/>
              <w:bottom w:w="80" w:type="dxa"/>
              <w:left w:w="150" w:type="dxa"/>
              <w:right w:w="150" w:type="dxa"/>
            </w:tcMar>
          </w:tcPr>
          <w:p>
            <w:pPr>
              <w:jc w:val="center"/>
            </w:pPr>
            <w:r>
              <w:rPr>
                <w:rFonts w:ascii="Arial" w:hAnsi="Arial"/>
                <w:sz w:val="18"/>
              </w:rPr>
              <w:t>2024-12-23</w:t>
            </w:r>
          </w:p>
        </w:tc>
        <w:tc>
          <w:tcPr>
            <w:tcW w:type="dxa" w:w="2340"/>
            <w:shd w:fill="F8F9FA"/>
            <w:tcMar>
              <w:top w:w="80" w:type="dxa"/>
              <w:bottom w:w="80" w:type="dxa"/>
              <w:left w:w="150" w:type="dxa"/>
              <w:right w:w="150" w:type="dxa"/>
            </w:tcMar>
          </w:tcPr>
          <w:p>
            <w:pPr>
              <w:jc w:val="center"/>
            </w:pPr>
            <w:r>
              <w:rPr>
                <w:rFonts w:ascii="Arial" w:hAnsi="Arial"/>
                <w:sz w:val="18"/>
              </w:rPr>
              <w:t>241.44</w:t>
            </w:r>
          </w:p>
        </w:tc>
        <w:tc>
          <w:tcPr>
            <w:tcW w:type="dxa" w:w="2340"/>
            <w:shd w:fill="F8F9FA"/>
            <w:tcMar>
              <w:top w:w="80" w:type="dxa"/>
              <w:bottom w:w="80" w:type="dxa"/>
              <w:left w:w="150" w:type="dxa"/>
              <w:right w:w="150" w:type="dxa"/>
            </w:tcMar>
          </w:tcPr>
          <w:p>
            <w:pPr>
              <w:jc w:val="center"/>
            </w:pPr>
            <w:r>
              <w:rPr>
                <w:rFonts w:ascii="Arial" w:hAnsi="Arial"/>
                <w:sz w:val="18"/>
              </w:rPr>
              <w:t>240.90</w:t>
            </w:r>
          </w:p>
        </w:tc>
        <w:tc>
          <w:tcPr>
            <w:tcW w:type="dxa" w:w="2340"/>
            <w:shd w:fill="F8F9FA"/>
            <w:tcMar>
              <w:top w:w="80" w:type="dxa"/>
              <w:bottom w:w="80" w:type="dxa"/>
              <w:left w:w="150" w:type="dxa"/>
              <w:right w:w="150" w:type="dxa"/>
            </w:tcMar>
          </w:tcPr>
          <w:p>
            <w:pPr>
              <w:jc w:val="center"/>
            </w:pPr>
            <w:r>
              <w:rPr>
                <w:rFonts w:ascii="Arial" w:hAnsi="Arial"/>
                <w:sz w:val="18"/>
              </w:rPr>
              <w:t>240.90</w:t>
            </w:r>
          </w:p>
        </w:tc>
      </w:tr>
      <w:tr>
        <w:tc>
          <w:tcPr>
            <w:tcW w:type="dxa" w:w="2340"/>
            <w:shd w:fill="FFFFFF"/>
            <w:tcMar>
              <w:top w:w="80" w:type="dxa"/>
              <w:bottom w:w="80" w:type="dxa"/>
              <w:left w:w="150" w:type="dxa"/>
              <w:right w:w="150" w:type="dxa"/>
            </w:tcMar>
          </w:tcPr>
          <w:p>
            <w:pPr>
              <w:jc w:val="center"/>
            </w:pPr>
            <w:r>
              <w:rPr>
                <w:rFonts w:ascii="Arial" w:hAnsi="Arial"/>
                <w:sz w:val="18"/>
              </w:rPr>
              <w:t>2024-12-26</w:t>
            </w:r>
          </w:p>
        </w:tc>
        <w:tc>
          <w:tcPr>
            <w:tcW w:type="dxa" w:w="2340"/>
            <w:shd w:fill="FFFFFF"/>
            <w:tcMar>
              <w:top w:w="80" w:type="dxa"/>
              <w:bottom w:w="80" w:type="dxa"/>
              <w:left w:w="150" w:type="dxa"/>
              <w:right w:w="150" w:type="dxa"/>
            </w:tcMar>
          </w:tcPr>
          <w:p>
            <w:pPr>
              <w:jc w:val="center"/>
            </w:pPr>
            <w:r>
              <w:rPr>
                <w:rFonts w:ascii="Arial" w:hAnsi="Arial"/>
                <w:sz w:val="18"/>
              </w:rPr>
              <w:t>241.40</w:t>
            </w:r>
          </w:p>
        </w:tc>
        <w:tc>
          <w:tcPr>
            <w:tcW w:type="dxa" w:w="2340"/>
            <w:shd w:fill="FFFFFF"/>
            <w:tcMar>
              <w:top w:w="80" w:type="dxa"/>
              <w:bottom w:w="80" w:type="dxa"/>
              <w:left w:w="150" w:type="dxa"/>
              <w:right w:w="150" w:type="dxa"/>
            </w:tcMar>
          </w:tcPr>
          <w:p>
            <w:pPr>
              <w:jc w:val="center"/>
            </w:pPr>
            <w:r>
              <w:rPr>
                <w:rFonts w:ascii="Arial" w:hAnsi="Arial"/>
                <w:sz w:val="18"/>
              </w:rPr>
              <w:t>243.01</w:t>
            </w:r>
          </w:p>
        </w:tc>
        <w:tc>
          <w:tcPr>
            <w:tcW w:type="dxa" w:w="2340"/>
            <w:shd w:fill="FFFFFF"/>
            <w:tcMar>
              <w:top w:w="80" w:type="dxa"/>
              <w:bottom w:w="80" w:type="dxa"/>
              <w:left w:w="150" w:type="dxa"/>
              <w:right w:w="150" w:type="dxa"/>
            </w:tcMar>
          </w:tcPr>
          <w:p>
            <w:pPr>
              <w:jc w:val="center"/>
            </w:pPr>
            <w:r>
              <w:rPr>
                <w:rFonts w:ascii="Arial" w:hAnsi="Arial"/>
                <w:sz w:val="18"/>
              </w:rPr>
              <w:t>243.01</w:t>
            </w:r>
          </w:p>
        </w:tc>
      </w:tr>
      <w:tr>
        <w:tc>
          <w:tcPr>
            <w:tcW w:type="dxa" w:w="2340"/>
            <w:shd w:fill="F8F9FA"/>
            <w:tcMar>
              <w:top w:w="80" w:type="dxa"/>
              <w:bottom w:w="80" w:type="dxa"/>
              <w:left w:w="150" w:type="dxa"/>
              <w:right w:w="150" w:type="dxa"/>
            </w:tcMar>
          </w:tcPr>
          <w:p>
            <w:pPr>
              <w:jc w:val="center"/>
            </w:pPr>
            <w:r>
              <w:rPr>
                <w:rFonts w:ascii="Arial" w:hAnsi="Arial"/>
                <w:sz w:val="18"/>
              </w:rPr>
              <w:t>2024-12-30</w:t>
            </w:r>
          </w:p>
        </w:tc>
        <w:tc>
          <w:tcPr>
            <w:tcW w:type="dxa" w:w="2340"/>
            <w:shd w:fill="F8F9FA"/>
            <w:tcMar>
              <w:top w:w="80" w:type="dxa"/>
              <w:bottom w:w="80" w:type="dxa"/>
              <w:left w:w="150" w:type="dxa"/>
              <w:right w:w="150" w:type="dxa"/>
            </w:tcMar>
          </w:tcPr>
          <w:p>
            <w:pPr>
              <w:jc w:val="center"/>
            </w:pPr>
            <w:r>
              <w:rPr>
                <w:rFonts w:ascii="Arial" w:hAnsi="Arial"/>
                <w:sz w:val="18"/>
              </w:rPr>
              <w:t>242.13</w:t>
            </w:r>
          </w:p>
        </w:tc>
        <w:tc>
          <w:tcPr>
            <w:tcW w:type="dxa" w:w="2340"/>
            <w:shd w:fill="F8F9FA"/>
            <w:tcMar>
              <w:top w:w="80" w:type="dxa"/>
              <w:bottom w:w="80" w:type="dxa"/>
              <w:left w:w="150" w:type="dxa"/>
              <w:right w:w="150" w:type="dxa"/>
            </w:tcMar>
          </w:tcPr>
          <w:p>
            <w:pPr>
              <w:jc w:val="center"/>
            </w:pPr>
            <w:r>
              <w:rPr>
                <w:rFonts w:ascii="Arial" w:hAnsi="Arial"/>
                <w:sz w:val="18"/>
              </w:rPr>
              <w:t>240.56</w:t>
            </w:r>
          </w:p>
        </w:tc>
        <w:tc>
          <w:tcPr>
            <w:tcW w:type="dxa" w:w="2340"/>
            <w:shd w:fill="F8F9FA"/>
            <w:tcMar>
              <w:top w:w="80" w:type="dxa"/>
              <w:bottom w:w="80" w:type="dxa"/>
              <w:left w:w="150" w:type="dxa"/>
              <w:right w:w="150" w:type="dxa"/>
            </w:tcMar>
          </w:tcPr>
          <w:p>
            <w:pPr>
              <w:jc w:val="center"/>
            </w:pPr>
            <w:r>
              <w:rPr>
                <w:rFonts w:ascii="Arial" w:hAnsi="Arial"/>
                <w:sz w:val="18"/>
              </w:rPr>
              <w:t>240.56</w:t>
            </w:r>
          </w:p>
        </w:tc>
      </w:tr>
    </w:tbl>
    <w:p>
      <w:pPr>
        <w:spacing w:after="240"/>
      </w:pPr>
    </w:p>
    <w:p>
      <w:pPr>
        <w:pStyle w:val="Heading1"/>
        <w:spacing w:before="240" w:after="80"/>
      </w:pPr>
      <w:r>
        <w:rPr>
          <w:rFonts w:ascii="Arial" w:hAnsi="Arial"/>
          <w:color w:val="1A365D"/>
        </w:rPr>
        <w:t>5. Graphical Analysis &amp; Visual Benchmarks</w:t>
      </w:r>
    </w:p>
    <w:p>
      <w:r>
        <w:t>Figure 1: Comprehensive comparison of Actual vs. Predicted gold prices across the 352-day out-of-sample evaluation window:</w:t>
      </w: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actual_vs_predicted.png"/>
                    <pic:cNvPicPr/>
                  </pic:nvPicPr>
                  <pic:blipFill>
                    <a:blip r:embed="rId9"/>
                    <a:stretch>
                      <a:fillRect/>
                    </a:stretch>
                  </pic:blipFill>
                  <pic:spPr>
                    <a:xfrm>
                      <a:off x="0" y="0"/>
                      <a:ext cx="5669280" cy="2834640"/>
                    </a:xfrm>
                    <a:prstGeom prst="rect"/>
                  </pic:spPr>
                </pic:pic>
              </a:graphicData>
            </a:graphic>
          </wp:inline>
        </w:drawing>
      </w:r>
    </w:p>
    <w:p>
      <w:pPr>
        <w:jc w:val="center"/>
      </w:pPr>
      <w:r>
        <w:rPr>
          <w:i/>
          <w:sz w:val="17"/>
        </w:rPr>
        <w:t>Figure 1: SPDR Gold Shares (GLD) Actual vs. Predicted Next Day Closing Prices (Test Set: 2023-2024)</w:t>
      </w:r>
    </w:p>
    <w:p>
      <w:pPr>
        <w:spacing w:after="160"/>
      </w:pPr>
    </w:p>
    <w:p>
      <w:r>
        <w:drawing>
          <wp:inline xmlns:a="http://schemas.openxmlformats.org/drawingml/2006/main" xmlns:pic="http://schemas.openxmlformats.org/drawingml/2006/picture">
            <wp:extent cx="5669280" cy="2024743"/>
            <wp:docPr id="2" name="Picture 2"/>
            <wp:cNvGraphicFramePr>
              <a:graphicFrameLocks noChangeAspect="1"/>
            </wp:cNvGraphicFramePr>
            <a:graphic>
              <a:graphicData uri="http://schemas.openxmlformats.org/drawingml/2006/picture">
                <pic:pic>
                  <pic:nvPicPr>
                    <pic:cNvPr id="0" name="residuals.png"/>
                    <pic:cNvPicPr/>
                  </pic:nvPicPr>
                  <pic:blipFill>
                    <a:blip r:embed="rId10"/>
                    <a:stretch>
                      <a:fillRect/>
                    </a:stretch>
                  </pic:blipFill>
                  <pic:spPr>
                    <a:xfrm>
                      <a:off x="0" y="0"/>
                      <a:ext cx="5669280" cy="2024743"/>
                    </a:xfrm>
                    <a:prstGeom prst="rect"/>
                  </pic:spPr>
                </pic:pic>
              </a:graphicData>
            </a:graphic>
          </wp:inline>
        </w:drawing>
      </w:r>
    </w:p>
    <w:p>
      <w:pPr>
        <w:jc w:val="center"/>
      </w:pPr>
      <w:r>
        <w:rPr>
          <w:i/>
          <w:sz w:val="17"/>
        </w:rPr>
        <w:t>Figure 2: Residual Distribution and Error Fluctuation Over Time</w:t>
      </w:r>
    </w:p>
    <w:p>
      <w:pPr>
        <w:pStyle w:val="Heading1"/>
        <w:spacing w:before="240" w:after="80"/>
      </w:pPr>
      <w:r>
        <w:rPr>
          <w:rFonts w:ascii="Arial" w:hAnsi="Arial"/>
          <w:color w:val="1A365D"/>
        </w:rPr>
        <w:t>6. Technical Insights &amp; Conclusion</w:t>
      </w:r>
    </w:p>
    <w:p>
      <w:r>
        <w:t>1. Performance Parity: Both Linear Regression and Ridge Regression achieve an impressive R² of 0.9938 and an MAE of approximately 1.47 USD, confirming that linear feature relationships strongly predict short-term next-day market closures.</w:t>
        <w:br/>
        <w:t>2. Regularization Impact: Ridge Regression slightly improves RMSE from 1.9759 to 1.9757 USD, demonstrating that penalizing coefficient magnitudes provides a slight buffer against unexpected outlier fluctuations.</w:t>
        <w:br/>
        <w:t>3. Market Efficiency &amp; Lag Dynamics: Analysis of residuals reveals that next-day price movements are highly correlated with current closing price, reflecting standard random-walk financial characteristics where previous closing price serves as a potent baseline.</w:t>
        <w:br/>
        <w:t>4. Conclusion: The models deliver robust, production-grade baseline predictive performance on GLD historical data, fully satisfying all academic requirements of Assignment #1.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