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20" w:after="140"/>
        <w:widowControl/>
        <w:keepLines/>
      </w:pPr>
      <w:r>
        <w:drawing>
          <wp:inline distT="0" distB="0" distL="0" distR="0">
            <wp:extent cx="1224000" cy="487200"/>
            <wp:effectExtent l="0" t="0" r="0" b="0"/>
            <wp:docPr id="1" name="LogoCov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c-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48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20"/>
        <w:pBdr>
          <w:bottom w:val="single" w:sz="18" w:space="1" w:color="FFB800"/>
        </w:pBdr>
        <w:widowControl/>
        <w:keepLines/>
      </w:pPr>
    </w:p>
    <w:p>
      <w:pPr>
        <w:spacing w:before="80" w:after="80"/>
        <w:widowControl/>
        <w:keepLines/>
      </w:pPr>
      <w:r>
        <w:rPr>
          <w:rFonts w:ascii="Aptos" w:hAnsi="Aptos"/>
          <w:b/>
          <w:color w:val="71717A"/>
          <w:sz w:val="22"/>
        </w:rPr>
        <w:t>INFORME TÉCNICO</w:t>
      </w:r>
    </w:p>
    <w:p>
      <w:pPr>
        <w:spacing w:before="60" w:after="120" w:line="420" w:lineRule="auto"/>
        <w:widowControl/>
        <w:keepLines/>
        <w:keepNext/>
      </w:pPr>
      <w:r>
        <w:rPr>
          <w:rFonts w:ascii="Aptos" w:hAnsi="Aptos"/>
          <w:b/>
          <w:color w:val="1A1A1A"/>
          <w:sz w:val="44"/>
        </w:rPr>
        <w:t>Evaluación Parcial N°1 — ARY1102 Arquitectura Cloud</w:t>
      </w:r>
    </w:p>
    <w:p>
      <w:pPr>
        <w:spacing w:before="40" w:after="380" w:line="280" w:lineRule="auto"/>
        <w:widowControl/>
        <w:keepLines/>
      </w:pPr>
      <w:r>
        <w:rPr>
          <w:rFonts w:ascii="Aptos" w:hAnsi="Aptos"/>
          <w:b w:val="0"/>
          <w:color w:val="71717A"/>
          <w:sz w:val="22"/>
        </w:rPr>
        <w:t>FreshBox SpA — Catálogo Online de Productos Orgánicos</w:t>
        <w:br/>
        <w:t>Estudiante: Matías Fernández Z. · ARY1102 — Arquitectura Cloud · 22/09/2026</w:t>
      </w:r>
    </w:p>
    <w:tbl>
      <w:tblPr>
        <w:tblW w:w="9360" w:type="dxa"/>
        <w:tblBorders>
          <w:top w:val="single" w:sz="12" w:space="0" w:color="1A1A1A"/>
          <w:left w:val="single" w:sz="24" w:space="0" w:color="FFB800"/>
          <w:bottom w:val="single" w:sz="12" w:space="0" w:color="1A1A1A"/>
          <w:right w:val="single" w:sz="6" w:space="0" w:color="CBD5E1"/>
          <w:insideH w:val="single" w:sz="6" w:space="0" w:color="CBD5E1"/>
          <w:insideV w:val="none"/>
        </w:tblBorders>
        <w:tblCellMar>
          <w:top w:w="110" w:type="dxa"/>
          <w:bottom w:w="110" w:type="dxa"/>
          <w:left w:w="160" w:type="dxa"/>
          <w:right w:w="160" w:type="dxa"/>
        </w:tblCellMar>
      </w:tblPr>
      <w:tblGrid>
        <w:gridCol w:w="3000"/>
        <w:gridCol w:w="6360"/>
      </w:tblGrid>
      <w:tr>
        <w:trPr>
          <w:cantSplit/>
          <w:tblHeader/>
        </w:trPr>
        <w:tc>
          <w:tcPr>
            <w:tcW w:w="300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4F5F6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Código Documental:</w:t>
            </w:r>
          </w:p>
        </w:tc>
        <w:tc>
          <w:tcPr>
            <w:tcW w:w="636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4F5F6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INF-ARY1102-EP1-2026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Versión:</w:t>
            </w:r>
          </w:p>
        </w:tc>
        <w:tc>
          <w:tcPr>
            <w:tcW w:w="636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1.0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4F5F6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Asignatura:</w:t>
            </w:r>
          </w:p>
        </w:tc>
        <w:tc>
          <w:tcPr>
            <w:tcW w:w="636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4F5F6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ARY1102 Arquitectura Cloud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Estudiante:</w:t>
            </w:r>
          </w:p>
        </w:tc>
        <w:tc>
          <w:tcPr>
            <w:tcW w:w="636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Matías Fernández Z. (ma.fernandezz@duocuc.cl)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4F5F6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Fecha:</w:t>
            </w:r>
          </w:p>
        </w:tc>
        <w:tc>
          <w:tcPr>
            <w:tcW w:w="6360" w:type="dxa"/>
            <w:tcBorders>
              <w:top w:val="single" w:sz="6" w:space="0" w:color="CBD5E1"/>
              <w:left w:val="none"/>
              <w:bottom w:val="single" w:sz="6" w:space="0" w:color="CBD5E1"/>
              <w:right w:val="none"/>
            </w:tcBorders>
            <w:shd w:val="clear" w:color="auto" w:fill="F4F5F6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22/09/2026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CBD5E1"/>
              <w:left w:val="none"/>
              <w:bottom w:val="single" w:sz="12" w:space="0" w:color="1A1A1A"/>
              <w:right w:val="none"/>
            </w:tcBorders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Entorno:</w:t>
            </w:r>
          </w:p>
        </w:tc>
        <w:tc>
          <w:tcPr>
            <w:tcW w:w="6360" w:type="dxa"/>
            <w:tcBorders>
              <w:top w:val="single" w:sz="6" w:space="0" w:color="CBD5E1"/>
              <w:left w:val="none"/>
              <w:bottom w:val="single" w:sz="12" w:space="0" w:color="1A1A1A"/>
              <w:right w:val="none"/>
            </w:tcBorders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widowControl/>
              <w:keepLines/>
            </w:pPr>
            <w:r>
              <w:t>AWS Academy Learner Lab · us-east-1 · workspace clases</w:t>
            </w:r>
          </w:p>
        </w:tc>
      </w:tr>
    </w:tbl>
    <w:p>
      <w:pPr>
        <w:spacing w:before="320" w:after="0"/>
        <w:widowControl/>
        <w:keepLines/>
      </w:pPr>
    </w:p>
    <w:p>
      <w:pPr>
        <w:spacing w:before="240" w:after="0"/>
        <w:widowControl/>
        <w:keepLines/>
      </w:pPr>
      <w:r>
        <w:rPr>
          <w:rFonts w:ascii="Aptos" w:hAnsi="Aptos"/>
          <w:b w:val="0"/>
          <w:color w:val="71717A"/>
          <w:sz w:val="20"/>
        </w:rPr>
        <w:t>Duoc UC · Instituto Profesional · 2026 · #VerdaderamenteConectad@s</w:t>
      </w:r>
    </w:p>
    <w:p>
      <w:pPr>
        <w:widowControl/>
        <w:keepLines/>
      </w:pPr>
      <w:r>
        <w:br w:type="page"/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Control de Versiones y Aprobaciones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Elaborado por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Revisado por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Estado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1.0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22/09/2026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Matías Fernández Z.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Docente ARY1102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Entrega EP1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1.1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22/09/2026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Matías Fernández Z.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Aclara pauta lab vs TO-BE empresarial</w:t>
            </w:r>
          </w:p>
        </w:tc>
      </w:tr>
    </w:tbl>
    <w:p>
      <w:pPr>
        <w:widowControl/>
        <w:keepLines/>
      </w:pP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Índice de Contenidos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Introducción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1.1 Fundamentación del rol del arquitecto cloud (IE1.1.2)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1.2 Pilares del Well-Architected Framework (IE1.2.1)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1.3 Análisis de arquitectura según Well-Architected (IE1.2.2)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1.4 Priorización de requerimientos (IE1.3.2)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1.5 Comparación de modelos de nube (IE2.1.1)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1.6 Justificación del modelo cloud (IE2.1.2)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1.7 Validación del diseño (IE2.2.2) — implementación EP1 y TO-BE empresarial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Conclusiones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Glosario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Referencias (APA 7)</w:t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Introducción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FreshBox SpA comercializa productos orgánicos y saludables con despacho a domicilio en la Región Metropolitana. El crecimiento sostenido del 40% trimestral exige modernizar la plataforma para publicar y administrar un catálogo online (CRUD de productos). El carrito y el procesamiento de órdenes quedan para fases posteriores.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Este informe corresponde al Componente 1 (encargo técnico) de la EP1 de ARY1102. El repositorio Matishac14/ARY1102_Arquitectura_Cloud contiene la implementación demostrable en AWS Academy Learner Lab: Terraform modular, ECR, cinco contenedores Docker ARM64, ASG Multi-AZ, MariaDB en EC2 y GitHub Actions semi-automático.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shd w:fill="F4F5F6" w:val="clear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color="FFB800"/>
              <w:top w:val="nil"/>
              <w:bottom w:val="nil"/>
              <w:right w:val="nil"/>
            </w:tcBorders>
          </w:tcPr>
          <w:p>
            <w:pPr>
              <w:widowControl/>
              <w:keepLines/>
            </w:pPr>
            <w:r>
              <w:rPr>
                <w:rFonts w:ascii="Aptos" w:hAnsi="Aptos"/>
                <w:b/>
                <w:color w:val="1A1A1A"/>
                <w:sz w:val="20"/>
              </w:rPr>
              <w:t>Aclaración obligatoria para la defensa (pauta vs evolución)</w:t>
            </w:r>
          </w:p>
          <w:p>
            <w:pPr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La implementación de laboratorio cumple la pauta académica. El TO-BE empresarial elimina restricciones de Learner Lab y reduce riesgo operacional mediante servicios administrados (por ejemplo ECS/Fargate y RDS Multi-AZ). En la demo se presenta lo exigido por la pauta (EC2+Docker, ASG 2–4, MySQL en EC2, ALB, VPC /22, seis subredes, SG por capa y CRUD vía ALB). ECS/Fargate y RDS se explican como evolución recomendada, no como sustituto de la demo.</w:t>
            </w:r>
          </w:p>
        </w:tc>
      </w:tr>
    </w:tbl>
    <w:p>
      <w:pPr>
        <w:widowControl/>
        <w:keepLines/>
      </w:pP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1.1 Fundamentación del rol del arquitecto cloud (IE1.1.2)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El arquitecto cloud traduce objetivos de negocio en una arquitectura segura, escalable, resiliente, operable y financieramente sostenible. No solo elige servicios AWS: levanta requerimientos, evalúa riesgos, documenta decisiones y valida valor medible. En FreshBox debe sostener el crecimiento del 40% trimestral sin degradar el catálogo ni elevar CAPEX.</w:t>
      </w: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Responsabilidades técnicas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Diseñar VPC Multi-AZ (/22), seis subredes, IGW, NAT, ALB y Security Groups por capa.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Definir cómputo App con EC2 Amazon Linux + Docker y ASG (mín. 2 / máx. 4) según pauta EP1.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Ubicar MySQL/MariaDB en EC2 de capa Data privada, con EBS cifrado y AWS Backup.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Publicar cinco imágenes en ECR y asegurar CRUD vía ALB (frontend + cuatro APIs).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Automatizar con Terraform y despliegue semi-auto (GitHub Actions), respetando LabRole.</w:t>
      </w: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Responsabilidades estratégicas y de gobierno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Alinear decisiones al negocio (time-to-market del catálogo, continuidad y costo controlado).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Separar claramente lo demostrable en el lab de la hoja de ruta productiva (TO-BE).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Definir criterios de aceptación: targets healthy, Multi-AZ, CRUD end-to-end ALB→EC2→MySQL.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Gobernar etiquetado, presupuestos del lab, destroy al cerrar sesión y secretos temporales.</w:t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1.2 Pilares del Well-Architected Framework (IE1.2.1)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Se describen los seis pilares del AWS Well-Architected Framework y su aplicación a FreshBox, distinguiendo lo ya implementado en el laboratorio de lo propuesto para producción.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Pilar</w:t>
            </w:r>
          </w:p>
        </w:tc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En la implementación EP1 (lab)</w:t>
            </w:r>
          </w:p>
        </w:tc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Evolución TO-BE empresarial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Excelencia operativa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Terraform, Actions, validate-ep1, recycle ASG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CI/CD con pruebas, escaneo, rollback, runbooks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Seguridad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SG por capa, EBS cifrado, BD solo desde App, LabRole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WAF, HTTPS/ACM, Secrets Manager, CloudTrail, SSM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Confiabilidad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Multi-AZ, ALB, ASG min 2, Backup 7 días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RDS Multi-AZ, NAT por AZ, pruebas de restauración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Rendimiento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t4g.small ARM, 5 contenedores, ASG hasta 4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ECS/Fargate por servicio, autoescalado por métrica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Costos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1 NAT, destroy, on-demand locks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Presupuestos, VPC endpoints, right-sizing continuo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Sostenibilidad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Graviton, menos overprovisioning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Apagado no-prod, retención de logs adecuada</w:t>
            </w:r>
          </w:p>
        </w:tc>
      </w:tr>
    </w:tbl>
    <w:p>
      <w:pPr>
        <w:widowControl/>
        <w:keepLines/>
      </w:pP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1.3 Análisis de arquitectura según Well-Architected (IE1.2.2)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La arquitectura del repositorio es adecuada para demostrar los conceptos de la evaluación. Una lectura Well-Architected identifica riesgos del lab y oportunidades de madurez productiva sin invalidar el cumplimiento de la pauta.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Pilar</w:t>
            </w:r>
          </w:p>
        </w:tc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Riesgo / brecha (lab o base)</w:t>
            </w:r>
          </w:p>
        </w:tc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Mejora</w:t>
            </w:r>
          </w:p>
        </w:tc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Prioridad</w:t>
            </w:r>
          </w:p>
        </w:tc>
      </w:tr>
      <w:tr>
        <w:trPr>
          <w:cantSplit/>
        </w:trPr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Confiabilidad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MySQL en un solo EC2 (SPOF de datos)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RDS Multi-AZ + backups automáticos (TO-BE)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Confiabilidad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Un solo NAT Gateway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NAT por AZ o VPC endpoints (TO-BE)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Media</w:t>
            </w:r>
          </w:p>
        </w:tc>
      </w:tr>
      <w:tr>
        <w:trPr>
          <w:cantSplit/>
        </w:trPr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Rendimiento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Cinco contenedores compiten en el mismo host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ECS/Fargate por servicio (TO-BE)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Seguridad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ALB solo HTTP (sin TLS en lab)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HTTPS + ACM + WAF (TO-BE)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Excelencia operativa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Session Token caduca en Actions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Renovación de Secrets; luego OIDC fuera del lab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Costos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Olvidar destroy deja NAT/ALB/EC2 encendidos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Checklist de cierre + alarmas de presupuesto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</w:tr>
    </w:tbl>
    <w:p>
      <w:pPr>
        <w:widowControl/>
        <w:keepLines/>
      </w:pP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La mejora más importante es distinguir arquitectura didáctica (EC2+Docker+MySQL en EC2) de arquitectura operable (ECS/Fargate + RDS). Ambas coexisten en este informe: la primera se demuestra; la segunda se recomienda.</w:t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1.4 Priorización de requerimientos (IE1.3.2)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ID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872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Cómo se cubre en EP1 (lab)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RF-01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Consultar productos (GET)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Funcional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get-products detrás del ALB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RF-02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Crear / actualizar / eliminar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Funcional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create/update/delete + frontend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RF-03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Cinco contenedores Docker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Funcional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frontend + 4 APIs en cada EC2 App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RNF-01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HA Multi-AZ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6 subredes, ALB, ASG min 2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Escalabilidad automática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ASG máx. 4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RNF-03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Seguridad por capas + cifrado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SG ALB→App→Data; EBS encrypted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Recuperación de datos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AWS Backup 7 días sobre EC2 BD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RNF-05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Costos controlados (lab)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Alta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1 NAT; destroy; t4g.small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Despliegues repetibles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Media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Terraform + GitHub Actions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RF-04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Carrito y órdenes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Funcional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Baja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Fuera de alcance EP1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RNF-07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HTTPS / WAF / Secrets Manager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Media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Planificado en TO-BE empresarial</w:t>
            </w:r>
          </w:p>
        </w:tc>
      </w:tr>
      <w:tr>
        <w:trPr>
          <w:cantSplit/>
        </w:trPr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RNF-08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Cómputo y BD administrados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No funcional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Media</w:t>
            </w:r>
          </w:p>
        </w:tc>
        <w:tc>
          <w:tcPr>
            <w:tcW w:type="dxa" w:w="1872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ECS/Fargate + RDS en TO-BE</w:t>
            </w:r>
          </w:p>
        </w:tc>
      </w:tr>
    </w:tbl>
    <w:p>
      <w:pPr>
        <w:widowControl/>
        <w:keepLines/>
      </w:pP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1.5 Comparación de modelos de nube (IE2.1.1)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Pública</w:t>
            </w:r>
          </w:p>
        </w:tc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Privada</w:t>
            </w:r>
          </w:p>
        </w:tc>
        <w:tc>
          <w:tcPr>
            <w:tcW w:type="dxa" w:w="234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Híbrida</w:t>
            </w:r>
          </w:p>
        </w:tc>
      </w:tr>
      <w:tr>
        <w:trPr>
          <w:cantSplit/>
        </w:trPr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Costos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Baja inversión inicial; OPEX; requiere gobierno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Alto CAPEX (HW, licencias, operación)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Costos duplicados de integración</w:t>
            </w:r>
          </w:p>
        </w:tc>
      </w:tr>
      <w:tr>
        <w:trPr>
          <w:cantSplit/>
        </w:trPr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Seguridad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Controles maduros; responsabilidad compartida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Control físico total; todo a cargo propio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Complejidad de políticas duales</w:t>
            </w:r>
          </w:p>
        </w:tc>
      </w:tr>
      <w:tr>
        <w:trPr>
          <w:cantSplit/>
        </w:trPr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Elástica (ASG/ECS, Multi-AZ)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Limitada por capacidad comprada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Condicionada por enlace y distribución</w:t>
            </w:r>
          </w:p>
        </w:tc>
      </w:tr>
      <w:tr>
        <w:trPr>
          <w:cantSplit/>
        </w:trPr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Ventaja FreshBox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Ideal para MVP y crecimiento 40%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Sin ventaja clara en etapa 1</w:t>
            </w:r>
          </w:p>
        </w:tc>
        <w:tc>
          <w:tcPr>
            <w:tcW w:type="dxa" w:w="234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Solo si hay legado inamovible</w:t>
            </w:r>
          </w:p>
        </w:tc>
      </w:tr>
      <w:tr>
        <w:trPr>
          <w:cantSplit/>
        </w:trPr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Desventaja FreshBox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Dependencia del proveedor / límites lab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CAPEX y lead time altos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Mayor costo y complejidad operativa</w:t>
            </w:r>
          </w:p>
        </w:tc>
      </w:tr>
    </w:tbl>
    <w:p>
      <w:pPr>
        <w:widowControl/>
        <w:keepLines/>
      </w:pP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1.6 Justificación del modelo cloud (IE2.1.2)</w:t>
      </w: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Modelo seleccionado: nube pública AWS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Se selecciona nube pública AWS (Learner Lab para la demo; cuenta productiva para el TO-BE). AWS ofrece VPC, ALB, EC2, ASG, ECR, Backup y, en evolución, ECS, RDS, WAF e IAM avanzado sin construir plataforma física.</w:t>
      </w: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Justificación técnica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Cumple el TO-BE académico de tres capas con componentes nativos exigidos por la pauta.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Permite contenedores ARM64, Multi-AZ y balanceo sin rediseñar el dominio CRUD.</w:t>
      </w:r>
    </w:p>
    <w:p>
      <w:pPr>
        <w:spacing w:after="120" w:line="240" w:lineRule="auto"/>
        <w:ind w:left="283"/>
        <w:widowControl/>
        <w:keepLines/>
      </w:pPr>
      <w:r>
        <w:rPr>
          <w:rFonts w:ascii="Aptos" w:hAnsi="Aptos"/>
          <w:b w:val="0"/>
          <w:color w:val="2B2B2B"/>
          <w:sz w:val="22"/>
        </w:rPr>
        <w:t>• IaC (Terraform) y Actions hacen reproducible el laboratorio y preparan la madurez CI/CD.</w:t>
      </w: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Justificación financiera (CAPEX → OPEX)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Se sustituye inversión en servidores y balanceadores (CAPEX) por consumo del lab/cloud (OPEX). Servicios administrados en el TO-BE reducen horas de parches de SO/motor DB. OPEX exige igual tagging, presupuestos y destroy: no es costo automáticamente bajo.</w:t>
      </w: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Justificación estratégica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FreshBox acelera el time-to-market del catálogo y deja una ruta incremental hacia carrito, órdenes y endurecimiento (HTTPS, WAF, RDS, ECS) sin abandonar la separación por capas.</w:t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1.7 Validación del diseño (IE2.2.2)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shd w:fill="F4F5F6" w:val="clear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color="FFB800"/>
              <w:top w:val="nil"/>
              <w:bottom w:val="nil"/>
              <w:right w:val="nil"/>
            </w:tcBorders>
          </w:tcPr>
          <w:p>
            <w:pPr>
              <w:widowControl/>
              <w:keepLines/>
            </w:pPr>
            <w:r>
              <w:rPr>
                <w:rFonts w:ascii="Aptos" w:hAnsi="Aptos"/>
                <w:b/>
                <w:color w:val="1A1A1A"/>
                <w:sz w:val="20"/>
              </w:rPr>
              <w:t>Dos conceptos que no deben confundirse en la defensa</w:t>
            </w:r>
          </w:p>
          <w:p>
            <w:pPr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Implementación EP1 obligatoria = diseño exigido por la pauta (EC2+Docker, ASG, MySQL en EC2, ALB, ECR, VPC /22, seis subredes, SG por capa, CRUD). TO-BE empresarial sin restricciones = evolución recomendada (ECS/Fargate, RDS Multi-AZ, WAF, Secrets Manager, CloudWatch/CloudTrail, CI/CD, NAT por AZ, VPC endpoints). Presentar solo ECS/RDS sin evidenciar el lab puede afectar los indicadores de demostración (red/HA, cinco contenedores en EC2, conectividad ALB→EC2→MySQL).</w:t>
            </w:r>
          </w:p>
        </w:tc>
      </w:tr>
    </w:tbl>
    <w:p>
      <w:pPr>
        <w:widowControl/>
        <w:keepLines/>
      </w:pP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1.7.1 Implementación EP1 obligatoria (lo que se demuestra en Academy)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La solución desplegada en el repositorio y validada en el Learner Lab cumple literalmente los componentes de la pauta de presentación/demostración: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Exigencia de la pauta</w:t>
            </w:r>
          </w:p>
        </w:tc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Evidencia en la implementación</w:t>
            </w:r>
          </w:p>
        </w:tc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Estado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VPC CIDR /22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VPC 10.0.0.0/22 (Terraform module network)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Seis subredes en dos AZ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2 public + 2 private-app + 2 private-data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IGW + NAT Gateway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Routing module; 1 NAT (presupuesto lab)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ALB público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ALB internet-facing :80; TG health /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EC2 Amazon Linux + Docker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ASG t4g.small AL2023 ARM; user-data Docker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ASG min 2 / max 4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application-autoscaling module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EC2 MySQL capa privada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EC2 MariaDB en subnet data + Backup 7 días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Cinco contenedores Docker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frontend + get/create/update/delete en ECR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CRUD vía ALB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http://ALB/ y /api/products (GET/POST/PUT/DELETE)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SG por capa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ALB:80←Internet; App:80←ALB; Data:3306←App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Flujo ALB → EC2 → MySQL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Demo consola + smoke Actions / validate-ep1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● Cumple</w:t>
            </w:r>
          </w:p>
        </w:tc>
      </w:tr>
    </w:tbl>
    <w:p>
      <w:pPr>
        <w:widowControl/>
        <w:keepLines/>
      </w:pP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Diagrama lógico de la implementación EP1: Internet → ALB (pública) → ASG EC2+Docker (privada App, Multi-AZ) → EC2 MariaDB (privada Data) + AWS Backup. Detalle Mermaid en 04-architecture-evidence/arquitectura-freshbox.md.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shd w:fill="F4F5F6" w:val="clear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color="FFB800"/>
              <w:top w:val="nil"/>
              <w:bottom w:val="nil"/>
              <w:right w:val="nil"/>
            </w:tcBorders>
          </w:tcPr>
          <w:p>
            <w:pPr>
              <w:widowControl/>
              <w:keepLines/>
            </w:pPr>
            <w:r>
              <w:rPr>
                <w:rFonts w:ascii="Aptos" w:hAnsi="Aptos"/>
                <w:b/>
                <w:color w:val="1A1A1A"/>
                <w:sz w:val="20"/>
              </w:rPr>
              <w:t>Nota sobre el puerto 443 del enunciado</w:t>
            </w:r>
          </w:p>
          <w:p>
            <w:pPr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El enunciado menciona 80/443. En el lab el ALB expone HTTP :80 (sin ACM). La segmentación ALB→App→Data y el cifrado EBS se mantienen. En la demo se usa siempre http://.</w:t>
            </w:r>
          </w:p>
        </w:tc>
      </w:tr>
    </w:tbl>
    <w:p>
      <w:pPr>
        <w:widowControl/>
        <w:keepLines/>
      </w:pPr>
    </w:p>
    <w:p>
      <w:pPr>
        <w:pStyle w:val="Heading2"/>
        <w:spacing w:before="240" w:after="120"/>
        <w:widowControl/>
        <w:keepLines/>
        <w:keepNext/>
      </w:pPr>
      <w:r>
        <w:rPr>
          <w:rFonts w:ascii="Aptos" w:hAnsi="Aptos"/>
          <w:b/>
          <w:color w:val="1A1A1A"/>
          <w:sz w:val="26"/>
        </w:rPr>
        <w:t>1.7.2 TO-BE empresarial sin restricciones de Learner Lab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Una vez cumplida la pauta, se recomienda evolucionar la misma topología de tres capas hacia servicios administrados. Esta sección no reemplaza la demo; reduce riesgo operacional y carga indiferenciada (parcheo de SO, Docker en hosts, motor DB).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Componente EP1 (lab)</w:t>
            </w:r>
          </w:p>
        </w:tc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Evolución TO-BE</w:t>
            </w:r>
          </w:p>
        </w:tc>
        <w:tc>
          <w:tcPr>
            <w:tcW w:type="dxa" w:w="312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Beneficio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EC2 + Docker + ASG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Amazon ECS con Fargate (5 servicios)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Escalado por servicio; menos ops de SO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MySQL/MariaDB en EC2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Amazon RDS for MySQL Multi-AZ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Failover administrado; backups automáticos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1 NAT Gateway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NAT por AZ y/o VPC endpoints (ECR, S3, logs)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Menor SPOF de salida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HTTP :80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HTTPS (ACM) + AWS WAF delante del ALB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Cifrado en tránsito y perímetro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Secretos en tfvars/env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AWS Secrets Manager + IAM Roles for Tasks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Menos filtración de credenciales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Validación manual / scripts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CI/CD con tests, escaneo de imágenes, rollback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Excelencia operativa</w:t>
            </w:r>
          </w:p>
        </w:tc>
      </w:tr>
      <w:tr>
        <w:trPr>
          <w:cantSplit/>
        </w:trPr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Observabilidad básica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CloudWatch + CloudTrail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Detección y auditoría</w:t>
            </w:r>
          </w:p>
        </w:tc>
      </w:tr>
      <w:tr>
        <w:trPr>
          <w:cantSplit/>
        </w:trPr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VPC /22 (lab)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Puede ampliarse a /16 en producción</w:t>
            </w:r>
          </w:p>
        </w:tc>
        <w:tc>
          <w:tcPr>
            <w:tcW w:type="dxa" w:w="312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Espacio de direccionamiento</w:t>
            </w:r>
          </w:p>
        </w:tc>
      </w:tr>
    </w:tbl>
    <w:p>
      <w:pPr>
        <w:widowControl/>
        <w:keepLines/>
      </w:pP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Flujo TO-BE de validación funcional: cliente → WAF/ALB → ECS → RDS, con las mismas operaciones CRUD. En la defensa oral se enfatiza: primero evidencia del lab (ALB→EC2→MySQL); después se muestra el diagrama TO-BE como hoja de ruta.</w:t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Conclusiones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FreshBox necesita una base cloud alineada a su crecimiento. Este informe valida, en primer lugar, la implementación EP1 exigida por la pauta: VPC /22, seis subredes, ALB, EC2+Docker con ASG 2–4, MySQL en EC2 privada, cinco contenedores, SG por capa y CRUD vía ALB, automatizada con Terraform y GitHub Actions en el Learner Lab.</w:t>
      </w:r>
    </w:p>
    <w:p>
      <w:pPr>
        <w:spacing w:after="120" w:line="240" w:lineRule="auto"/>
        <w:widowControl/>
        <w:keepLines/>
      </w:pPr>
      <w:r>
        <w:rPr>
          <w:rFonts w:ascii="Aptos" w:hAnsi="Aptos"/>
          <w:b w:val="0"/>
          <w:color w:val="2B2B2B"/>
          <w:sz w:val="22"/>
        </w:rPr>
        <w:t>En segundo lugar, propone un TO-BE empresarial (ECS/Fargate, RDS Multi-AZ, WAF, Secrets Manager, observabilidad y CI/CD) que elimina restricciones del lab y baja el riesgo operacional. La frase guía de la defensa es: la implementación de laboratorio cumple la pauta académica; el TO-BE elimina restricciones de Learner Lab y reduce riesgo mediante servicios administrados.</w:t>
      </w: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Glosario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680"/>
            <w:shd w:fill="1A1A1A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bottom w:val="single" w:sz="18" w:color="FFB800"/>
            </w:tcBorders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/>
                <w:color w:val="FFFFFF"/>
                <w:sz w:val="20"/>
              </w:rPr>
              <w:t>Significado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ALB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Application Load Balancer — balanceador HTTP/HTTPS de aplicación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ASG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Auto Scaling Group — autoescalado de instancias EC2 (pauta EP1)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ECS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Elastic Container Service — orquestación de contenedores (TO-BE)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Fargate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Cómputo serverless para contenedores en ECS (TO-BE)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RDS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Relational Database Service — base administrada Multi-AZ (TO-BE)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ECR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Elastic Container Registry — registro de imágenes Docker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VPC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Virtual Private Cloud — red virtual aislada en AWS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SG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Security Group — firewall stateful por ENI/instancia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NAT / IGW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Salida controlada desde privadas / puerta a Internet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CRUD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Create, Read, Update, Delete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IaC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Infrastructure as Code (Terraform)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WAF (AWS Framework)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Well-Architected Framework — seis pilares de diseño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AWS WAF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Web Application Firewall — protección perimetral (TO-BE)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CAPEX / OPEX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Gasto de capital / gasto operacional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Learner Lab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Entorno AWS Academy con límites (LabRole, regiones, SCP)</w:t>
            </w:r>
          </w:p>
        </w:tc>
      </w:tr>
      <w:tr>
        <w:trPr>
          <w:cantSplit/>
        </w:trPr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TO-BE</w:t>
            </w:r>
          </w:p>
        </w:tc>
        <w:tc>
          <w:tcPr>
            <w:tcW w:type="dxa" w:w="4680"/>
            <w:shd w:fill="F0F4F8" w:val="clea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Estado objetivo / arquitectura futura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AVA / LMS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  <w:widowControl/>
              <w:keepLines/>
            </w:pPr>
            <w:r>
              <w:rPr>
                <w:rFonts w:ascii="Aptos" w:hAnsi="Aptos"/>
                <w:b w:val="0"/>
                <w:color w:val="2B2B2B"/>
                <w:sz w:val="20"/>
              </w:rPr>
              <w:t>Aula digital (concepto) / plataforma (p. ej. Blackboard)</w:t>
            </w:r>
          </w:p>
        </w:tc>
      </w:tr>
    </w:tbl>
    <w:p>
      <w:pPr>
        <w:widowControl/>
        <w:keepLines/>
      </w:pPr>
    </w:p>
    <w:p>
      <w:pPr>
        <w:pStyle w:val="Heading1"/>
        <w:spacing w:before="360" w:after="160"/>
        <w:pBdr>
          <w:bottom w:val="single" w:sz="12" w:space="4" w:color="FFB800"/>
        </w:pBdr>
        <w:widowControl/>
        <w:keepLines/>
        <w:keepNext/>
      </w:pPr>
      <w:r>
        <w:rPr>
          <w:rFonts w:ascii="Aptos" w:hAnsi="Aptos"/>
          <w:b/>
          <w:color w:val="1A1A1A"/>
          <w:sz w:val="32"/>
        </w:rPr>
        <w:t>Referencias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Amazon Web Services. (s. f.). AWS Well-Architected Framework. https://docs.aws.amazon.com/wellarchitected/latest/framework/welcome.html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Amazon Web Services. (s. f.). Amazon EC2 Auto Scaling. https://docs.aws.amazon.com/autoscaling/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Amazon Web Services. (s. f.). Elastic Load Balancing — Application Load Balancers. https://docs.aws.amazon.com/elasticloadbalancing/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Amazon Web Services. (s. f.). Amazon ECS. https://docs.aws.amazon.com/ecs/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Amazon Web Services. (s. f.). Amazon RDS for MySQL. https://docs.aws.amazon.com/AmazonRDS/latest/UserGuide/CHAP_MySQL.html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HashiCorp. (s. f.). Terraform documentation. https://developer.hashicorp.com/terraform/docs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Pastenet, I. A. (2026). Evaluación Parcial N°1 — ARY1102 Arquitectura Cloud (encargo estudiante). Duoc UC.</w:t>
      </w:r>
    </w:p>
    <w:p>
      <w:pPr>
        <w:spacing w:after="80"/>
        <w:ind w:left="425" w:hanging="425"/>
        <w:widowControl/>
        <w:keepLines/>
      </w:pPr>
      <w:r>
        <w:rPr>
          <w:rFonts w:ascii="Aptos" w:hAnsi="Aptos"/>
          <w:b w:val="0"/>
          <w:color w:val="2B2B2B"/>
          <w:sz w:val="20"/>
        </w:rPr>
        <w:t>Matishac14. (2026). ARY1102_Arquitectura_Cloud [Repositorio]. https://github.com/Matishac14/ARY1102_Arquitectura_Cloud</w:t>
      </w:r>
    </w:p>
    <w:sectPr>
      <w:headerReference w:type="default" r:id="rIdHeader"/>
      <w:footerReference w:type="default" r:id="rIdFooter"/>
      <w:titlePg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>
  <w:tbl>
    <w:tblPr>
      <w:tblW w:w="9360" w:type="dxa"/>
      <w:tblBorders>
        <w:top w:val="single" w:sz="6" w:space="6" w:color="CBD5E1"/>
        <w:left w:val="none"/>
        <w:bottom w:val="none"/>
        <w:right w:val="none"/>
        <w:insideH w:val="none"/>
        <w:insideV w:val="none"/>
      </w:tblBorders>
      <w:tblCellMar>
        <w:top w:w="60" w:type="dxa"/>
        <w:bottom w:w="0" w:type="dxa"/>
        <w:left w:w="0" w:type="dxa"/>
        <w:right w:w="0" w:type="dxa"/>
      </w:tblCellMar>
    </w:tblPr>
    <w:tblGrid>
      <w:gridCol w:w="6000"/>
      <w:gridCol w:w="3360"/>
    </w:tblGrid>
    <w:tr>
      <w:trPr>
        <w:cantSplit/>
      </w:trPr>
      <w:tc>
        <w:tcPr>
          <w:tcW w:w="6000" w:type="dxa"/>
          <w:vAlign w:val="top"/>
        </w:tcPr>
        <w:p>
          <w:pPr>
            <w:spacing w:before="0" w:after="0"/>
          </w:pPr>
          <w:r>
            <w:rPr>
              <w:b/>
              <w:sz w:val="16"/>
              <w:color w:val="1A1A1A"/>
            </w:rPr>
            <w:t>Duoc UC</w:t>
          </w:r>
          <w:r>
            <w:rPr>
              <w:sz w:val="16"/>
              <w:color w:val="71717A"/>
            </w:rPr>
            <w:t> · Documento de Uso Institucional</w:t>
          </w:r>
        </w:p>
      </w:tc>
      <w:tc>
        <w:tcPr>
          <w:tcW w:w="3360" w:type="dxa"/>
          <w:vAlign w:val="top"/>
        </w:tcPr>
        <w:p>
          <w:pPr>
            <w:jc w:val="right"/>
            <w:spacing w:before="0" w:after="0"/>
          </w:pPr>
          <w:r>
            <w:rPr>
              <w:sz w:val="16"/>
              <w:color w:val="71717A"/>
            </w:rPr>
            <w:t>Página </w:t>
          </w:r>
          <w:fldSimple w:instr="PAGE">
            <w:r>
              <w:rPr>
                <w:b/>
                <w:sz w:val="16"/>
                <w:color w:val="1A1A1A"/>
              </w:rPr>
              <w:t>1</w:t>
            </w:r>
          </w:fldSimple>
          <w:r>
            <w:rPr>
              <w:sz w:val="16"/>
              <w:color w:val="71717A"/>
            </w:rPr>
            <w:t> de </w:t>
          </w:r>
          <w:fldSimple w:instr="NUMPAGES">
            <w:r>
              <w:rPr>
                <w:b/>
                <w:sz w:val="16"/>
                <w:color w:val="1A1A1A"/>
              </w:rPr>
              <w:t>1</w:t>
            </w:r>
          </w:fldSimple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one"/>
        <w:left w:val="none"/>
        <w:bottom w:val="single" w:sz="10" w:space="4" w:color="FFB800"/>
        <w:right w:val="none"/>
        <w:insideH w:val="none"/>
        <w:insideV w:val="none"/>
      </w:tblBorders>
      <w:tblCellMar>
        <w:top w:w="0" w:type="dxa"/>
        <w:bottom w:w="60" w:type="dxa"/>
        <w:left w:w="0" w:type="dxa"/>
        <w:right w:w="0" w:type="dxa"/>
      </w:tblCellMar>
    </w:tblPr>
    <w:tblGrid>
      <w:gridCol w:w="5800"/>
      <w:gridCol w:w="3560"/>
    </w:tblGrid>
    <w:tr>
      <w:trPr>
        <w:cantSplit/>
      </w:trPr>
      <w:tc>
        <w:tcPr>
          <w:tcW w:w="5800" w:type="dxa"/>
          <w:vAlign w:val="bottom"/>
        </w:tcPr>
        <w:p>
          <w:pPr>
            <w:spacing w:before="0" w:after="0" w:line="240" w:lineRule="auto"/>
          </w:pPr>
          <w:r>
            <w:drawing>
              <wp:inline distT="0" distB="0" distL="0" distR="0">
                <wp:extent cx="800000" cy="318394"/>
                <wp:effectExtent l="0" t="0" r="0" b="0"/>
                <wp:docPr id="101" name="LogoHea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duoc-logo.png"/>
                        <pic:cNvPicPr/>
                      </pic:nvPicPr>
                      <pic:blipFill>
                        <a:blip r:embed="rIdLogoHeader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000" cy="3183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before="30" w:after="0" w:line="240" w:lineRule="auto"/>
          </w:pPr>
          <w:r>
            <w:rPr>
              <w:b/>
              <w:sz w:val="17"/>
              <w:color w:val="1A1A1A"/>
            </w:rPr>
            <w:t>Informe General de Gestión</w:t>
          </w:r>
        </w:p>
      </w:tc>
      <w:tc>
        <w:tcPr>
          <w:tcW w:w="3560" w:type="dxa"/>
          <w:vAlign w:val="bottom"/>
        </w:tcPr>
        <w:p>
          <w:pPr>
            <w:jc w:val="right"/>
            <w:spacing w:before="0" w:after="0" w:line="240" w:lineRule="auto"/>
          </w:pPr>
          <w:r>
            <w:rPr>
              <w:b/>
              <w:sz w:val="17"/>
              <w:color w:val="1A1A1A"/>
            </w:rPr>
            <w:t>INF-GEN-2026-03</w:t>
          </w:r>
        </w:p>
        <w:p>
          <w:pPr>
            <w:jc w:val="right"/>
            <w:spacing w:before="20" w:after="0" w:line="240" w:lineRule="auto"/>
          </w:pPr>
          <w:r>
            <w:rPr>
              <w:sz w:val="16"/>
              <w:color w:val="71717A"/>
            </w:rPr>
            <w:t>Versión 1.0 | 2026</w:t>
          </w:r>
        </w:p>
      </w:tc>
    </w:tr>
  </w:tbl>
  <w:p>
    <w:pPr>
      <w:spacing w:before="0" w:after="0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ptos" w:hAnsi="Aptos" w:cs="Calibri"/>
        <w:sz w:val="21"/>
        <w:szCs w:val="21"/>
        <w:color w:val="2B2B2B"/>
        <w:lang w:val="es-CL"/>
      </w:rPr>
    </w:rPrDefault>
    <w:pPrDefault>
      <w:pPr>
        <w:spacing w:line="276" w:lineRule="auto" w:after="120"/>
      </w:pPr>
    </w:pPrDefault>
  </w:docDefaults>
  <!-- Estilo Normal -->
  <w:style w:type="paragraph" w:default="1" w:styleId="Normal">
    <w:name w:val="Normal"/>
    <w:qFormat/>
    <w:rPr>
      <w:rFonts w:ascii="Aptos" w:hAnsi="Aptos" w:cs="Calibri"/>
      <w:sz w:val="21"/>
      <w:color w:val="2B2B2B"/>
    </w:rPr>
  </w:style>
  <!-- Título 1 -->
  <w:style w:type="paragraph" w:styleId="Heading1">
    <w:name w:val="heading 1"/>
    <w:basedOn w:val="Normal"/>
    <w:next w:val="Normal"/>
    <w:qFormat/>
    <w:pPr>
      <w:keepNext/>
      <w:spacing w:before="280" w:after="100"/>
      <w:pBdr>
        <w:bottom w:val="single" w:sz="12" w:space="4" w:color="FFB800"/>
      </w:pBdr>
    </w:pPr>
    <w:rPr>
      <w:rFonts w:ascii="Aptos Display" w:hAnsi="Aptos Display" w:cs="Calibri"/>
      <w:b/>
      <w:bCs/>
      <w:sz w:val="30"/>
      <w:szCs w:val="30"/>
      <w:color w:val="1A1A1A"/>
    </w:rPr>
  </w:style>
  <!-- Título 2 -->
  <w:style w:type="paragraph" w:styleId="Heading2">
    <w:name w:val="heading 2"/>
    <w:basedOn w:val="Normal"/>
    <w:next w:val="Normal"/>
    <w:qFormat/>
    <w:pPr>
      <w:keepNext/>
      <w:spacing w:before="200" w:after="80"/>
    </w:pPr>
    <w:rPr>
      <w:rFonts w:ascii="Aptos" w:hAnsi="Aptos" w:cs="Calibri"/>
      <w:b/>
      <w:bCs/>
      <w:sz w:val="25"/>
      <w:szCs w:val="25"/>
      <w:color w:val="1A1A1A"/>
    </w:rPr>
  </w:style>
  <!-- Título 3 -->
  <w:style w:type="paragraph" w:styleId="Heading3">
    <w:name w:val="heading 3"/>
    <w:basedOn w:val="Normal"/>
    <w:next w:val="Normal"/>
    <w:qFormat/>
    <w:pPr>
      <w:keepNext/>
      <w:spacing w:before="140" w:after="60"/>
    </w:pPr>
    <w:rPr>
      <w:rFonts w:ascii="Aptos" w:hAnsi="Aptos" w:cs="Calibri"/>
      <w:b/>
      <w:bCs/>
      <w:sz w:val="21"/>
      <w:szCs w:val="21"/>
      <w:color w:val="71717A"/>
    </w:rPr>
  </w:style>
  <!-- Pie de Imagen / Epígrafe -->
  <w:style w:type="paragraph" w:styleId="Caption">
    <w:name w:val="caption"/>
    <w:basedOn w:val="Normal"/>
    <w:qFormat/>
    <w:pPr>
      <w:jc w:val="center"/>
      <w:spacing w:before="60" w:after="160"/>
    </w:pPr>
    <w:rPr>
      <w:rFonts w:ascii="Aptos" w:hAnsi="Aptos"/>
      <w:i/>
      <w:sz w:val="18"/>
      <w:szCs w:val="18"/>
      <w:color w:val="71717A"/>
    </w:rPr>
  </w:style>
  <!-- Estilo para Encabezado -->
  <w:style w:type="paragraph" w:styleId="Header">
    <w:name w:val="header"/>
    <w:basedOn w:val="Normal"/>
    <w:rPr>
      <w:sz w:val="16"/>
      <w:szCs w:val="16"/>
      <w:color w:val="71717A"/>
    </w:rPr>
  </w:style>
  <!-- Estilo para Pie de Página -->
  <w:style w:type="paragraph" w:styleId="Footer">
    <w:name w:val="footer"/>
    <w:basedOn w:val="Normal"/>
    <w:rPr>
      <w:sz w:val="16"/>
      <w:szCs w:val="16"/>
      <w:color w:val="71717A"/>
    </w:r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Logo" Type="http://schemas.openxmlformats.org/officeDocument/2006/relationships/image" Target="media/duoc-logo.png"/><Relationship Id="rIdSamplePhoto" Type="http://schemas.openxmlformats.org/officeDocument/2006/relationships/image" Target="media/sample-photo.png"/></Relationships>
</file>

<file path=word/_rels/header1.xml.rels><?xml version='1.0' encoding='UTF-8' standalone='yes'?>
<Relationships xmlns="http://schemas.openxmlformats.org/package/2006/relationships"><Relationship Id="rIdLogoHeader" Type="http://schemas.openxmlformats.org/officeDocument/2006/relationships/image" Target="media/duoc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Plantilla_Duoc_Informe General de Gestión</Template>
  <Application>Microsoft Word</Application>
  <Company>Duoc UC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General de Gestión</dc:title>
  <dc:creator>Duoc UC</dc:creator>
  <cp:category>Informe General de Gestión</cp:category>
  <dc:description>Documento Corporativo Institucional Duoc UC</dc:description>
  <cp:lastModifiedBy>Duoc UC</cp:lastModifiedBy>
  <dcterms:created xsi:type="dcterms:W3CDTF">2026-09-12T12:00:00Z</dcterms:created>
  <dcterms:modified xsi:type="dcterms:W3CDTF">2026-09-12T12:00:00Z</dcterms:modified>
</cp:coreProperties>
</file>