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20" w:after="140"/>
        <w:widowControl/>
        <w:keepLines/>
      </w:pPr>
      <w:r>
        <w:drawing>
          <wp:inline distT="0" distB="0" distL="0" distR="0">
            <wp:extent cx="1224000" cy="487200"/>
            <wp:effectExtent l="0" t="0" r="0" b="0"/>
            <wp:docPr id="1" name="LogoCov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oc-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4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20"/>
        <w:pBdr>
          <w:bottom w:val="single" w:sz="18" w:space="1" w:color="FFB800"/>
        </w:pBdr>
        <w:widowControl/>
        <w:keepLines/>
      </w:pPr>
    </w:p>
    <w:p>
      <w:pPr>
        <w:spacing w:before="80" w:after="80"/>
        <w:widowControl/>
        <w:keepLines/>
      </w:pPr>
      <w:r>
        <w:rPr>
          <w:rFonts w:ascii="Aptos" w:hAnsi="Aptos"/>
          <w:b/>
          <w:color w:val="71717A"/>
          <w:sz w:val="22"/>
        </w:rPr>
        <w:t>INFORME TÉCNICO</w:t>
      </w:r>
    </w:p>
    <w:p>
      <w:pPr>
        <w:spacing w:before="60" w:after="120" w:line="420" w:lineRule="auto"/>
        <w:widowControl/>
        <w:keepLines/>
        <w:keepNext/>
      </w:pPr>
      <w:r>
        <w:rPr>
          <w:rFonts w:ascii="Aptos" w:hAnsi="Aptos"/>
          <w:b/>
          <w:color w:val="1A1A1A"/>
          <w:sz w:val="44"/>
        </w:rPr>
        <w:t>Evaluación Parcial N°1 — ARY1102 Arquitectura Cloud</w:t>
      </w:r>
    </w:p>
    <w:p>
      <w:pPr>
        <w:spacing w:before="40" w:after="380" w:line="280" w:lineRule="auto"/>
        <w:widowControl/>
        <w:keepLines/>
      </w:pPr>
      <w:r>
        <w:rPr>
          <w:rFonts w:ascii="Aptos" w:hAnsi="Aptos"/>
          <w:b w:val="0"/>
          <w:color w:val="71717A"/>
          <w:sz w:val="22"/>
        </w:rPr>
        <w:t>FreshBox SpA — Catálogo Online de Productos Orgánicos</w:t>
        <w:br/>
        <w:t>Estudiante: Matías Fernández Z. · ARY1102 — Arquitectura Cloud · 22/09/2026</w:t>
      </w:r>
    </w:p>
    <w:tbl>
      <w:tblPr>
        <w:tblW w:w="9360" w:type="dxa"/>
        <w:tblBorders>
          <w:top w:val="single" w:sz="12" w:space="0" w:color="1A1A1A"/>
          <w:left w:val="single" w:sz="24" w:space="0" w:color="FFB800"/>
          <w:bottom w:val="single" w:sz="12" w:space="0" w:color="1A1A1A"/>
          <w:right w:val="single" w:sz="6" w:space="0" w:color="CBD5E1"/>
          <w:insideH w:val="single" w:sz="6" w:space="0" w:color="CBD5E1"/>
          <w:insideV w:val="none"/>
        </w:tblBorders>
        <w:tblCellMar>
          <w:top w:w="110" w:type="dxa"/>
          <w:bottom w:w="110" w:type="dxa"/>
          <w:left w:w="160" w:type="dxa"/>
          <w:right w:w="160" w:type="dxa"/>
        </w:tblCellMar>
      </w:tblPr>
      <w:tblGrid>
        <w:gridCol w:w="3000"/>
        <w:gridCol w:w="6360"/>
      </w:tblGrid>
      <w:tr>
        <w:trPr>
          <w:cantSplit/>
          <w:tblHeader/>
        </w:trPr>
        <w:tc>
          <w:tcPr>
            <w:tcW w:w="300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4F5F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Código Documental:</w:t>
            </w:r>
          </w:p>
        </w:tc>
        <w:tc>
          <w:tcPr>
            <w:tcW w:w="636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4F5F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INF-ARY1102-EP1-2026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Versión:</w:t>
            </w:r>
          </w:p>
        </w:tc>
        <w:tc>
          <w:tcPr>
            <w:tcW w:w="636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1.0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4F5F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Asignatura:</w:t>
            </w:r>
          </w:p>
        </w:tc>
        <w:tc>
          <w:tcPr>
            <w:tcW w:w="636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4F5F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ARY1102 Arquitectura Cloud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Estudiante:</w:t>
            </w:r>
          </w:p>
        </w:tc>
        <w:tc>
          <w:tcPr>
            <w:tcW w:w="636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Matías Fernández Z. (ma.fernandezz@duocuc.cl)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4F5F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Fecha:</w:t>
            </w:r>
          </w:p>
        </w:tc>
        <w:tc>
          <w:tcPr>
            <w:tcW w:w="6360" w:type="dxa"/>
            <w:tcBorders>
              <w:top w:val="single" w:sz="6" w:space="0" w:color="CBD5E1"/>
              <w:left w:val="none"/>
              <w:bottom w:val="single" w:sz="6" w:space="0" w:color="CBD5E1"/>
              <w:right w:val="none"/>
            </w:tcBorders>
            <w:shd w:val="clear" w:color="auto" w:fill="F4F5F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22/09/2026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BD5E1"/>
              <w:left w:val="none"/>
              <w:bottom w:val="single" w:sz="12" w:space="0" w:color="1A1A1A"/>
              <w:right w:val="none"/>
            </w:tcBorders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Entorno:</w:t>
            </w:r>
          </w:p>
        </w:tc>
        <w:tc>
          <w:tcPr>
            <w:tcW w:w="6360" w:type="dxa"/>
            <w:tcBorders>
              <w:top w:val="single" w:sz="6" w:space="0" w:color="CBD5E1"/>
              <w:left w:val="none"/>
              <w:bottom w:val="single" w:sz="12" w:space="0" w:color="1A1A1A"/>
              <w:right w:val="none"/>
            </w:tcBorders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widowControl/>
              <w:keepLines/>
            </w:pPr>
            <w:r>
              <w:t>AWS Academy Learner Lab · us-east-1 · workspace clases</w:t>
            </w:r>
          </w:p>
        </w:tc>
      </w:tr>
    </w:tbl>
    <w:p>
      <w:pPr>
        <w:spacing w:before="320" w:after="0"/>
        <w:widowControl/>
        <w:keepLines/>
      </w:pPr>
    </w:p>
    <w:p>
      <w:pPr>
        <w:spacing w:before="240" w:after="0"/>
        <w:widowControl/>
        <w:keepLines/>
      </w:pPr>
      <w:r>
        <w:rPr>
          <w:rFonts w:ascii="Aptos" w:hAnsi="Aptos"/>
          <w:b w:val="0"/>
          <w:color w:val="71717A"/>
          <w:sz w:val="20"/>
        </w:rPr>
        <w:t>Duoc UC · Instituto Profesional · 2026 · #VerdaderamenteConectad@s</w:t>
      </w:r>
    </w:p>
    <w:p>
      <w:pPr>
        <w:widowControl/>
        <w:keepLines/>
      </w:pPr>
      <w:r>
        <w:br w:type="page"/>
      </w: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Control de Versiones y Aprobaciones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Elaborado por</w:t>
            </w:r>
          </w:p>
        </w:tc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Revisado por</w:t>
            </w:r>
          </w:p>
        </w:tc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Estado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0.9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22/09/2026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Matías Fernández Z.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○ Borrador</w:t>
            </w:r>
          </w:p>
        </w:tc>
      </w:tr>
      <w:tr>
        <w:trPr>
          <w:cantSplit/>
        </w:trPr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1.0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22/09/2026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Matías Fernández Z.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Docente ARY1102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● Entrega EP1</w:t>
            </w:r>
          </w:p>
        </w:tc>
      </w:tr>
    </w:tbl>
    <w:p>
      <w:pPr>
        <w:widowControl/>
        <w:keepLines/>
      </w:pP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Índice de Contenidos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Introducción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1.1 Fundamentación del rol del arquitecto cloud (IE1.1.2)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1.2 Pilares del Well-Architected Framework (IE1.2.1)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1.3 Análisis de arquitectura según Well-Architected (IE1.2.2)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1.4 Priorización de requerimientos (IE1.3.2)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1.5 Comparación de modelos de nube (IE2.1.1)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1.6 Justificación del modelo cloud (IE2.1.2)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1.7 Validación del diseño (IE2.2.2)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Conclusiones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Glosario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Referencias (APA 7)</w:t>
      </w: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Introducción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FreshBox SpA es una empresa de venta online de productos orgánicos y saludables con despacho en la Región Metropolitana. El crecimiento sostenido del 40% trimestral exige modernizar la plataforma tecnológica hacia un modelo cloud que permita administrar un catálogo online (CRUD de productos) con alta disponibilidad, escalabilidad y costos predecibles.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Este informe técnico corresponde al Componente 1 de la Evaluación Parcial N°1 (EP1) de la asignatura ARY1102. Se fundamenta el rol del arquitecto cloud, se aplican los seis pilares del AWS Well-Architected Framework, se priorizan requerimientos, se justifica el modelo de nube pública y se valida el diseño TO-BE de tres capas implementado en AWS Academy Learner Lab mediante Infrastructure as Code (Terraform), contenedores Docker (ARM64) y despliegue semi-automático con GitHub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shd w:fill="F4F5F6" w:val="clear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color="FFB800"/>
              <w:top w:val="nil"/>
              <w:bottom w:val="nil"/>
              <w:right w:val="nil"/>
            </w:tcBorders>
          </w:tcPr>
          <w:p>
            <w:pPr>
              <w:widowControl/>
              <w:keepLines/>
            </w:pPr>
            <w:r>
              <w:rPr>
                <w:rFonts w:ascii="Aptos" w:hAnsi="Aptos"/>
                <w:b/>
                <w:color w:val="1A1A1A"/>
                <w:sz w:val="20"/>
              </w:rPr>
              <w:t>Alcance EP1</w:t>
            </w:r>
          </w:p>
          <w:p>
            <w:pPr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Catálogo administrable (GET/POST/PUT/DELETE). Carrito y órdenes quedan fuera de alcance para etapas posteriores. Implementación en us-east-1 respetando límites del Learner Lab (LabRole/LabInstanceProfile, t4g.small, sin creación de roles IAM propios).</w:t>
            </w:r>
          </w:p>
        </w:tc>
      </w:tr>
    </w:tbl>
    <w:p>
      <w:pPr>
        <w:widowControl/>
        <w:keepLines/>
      </w:pP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1.1 Fundamentación del rol del arquitecto cloud (IE1.1.2)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El arquitecto cloud traduce objetivos de negocio en decisiones tecnológicas medibles. En FreshBox, el objetivo central es sostener el crecimiento del 40% trimestral sin degradar disponibilidad ni disparar costos fijos de infraestructura on-premises.</w:t>
      </w: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Responsabilidades técnicas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Diseñar la topología de red Multi-AZ (VPC /22, subredes públicas y privadas, IGW, NAT).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Definir segmentación de seguridad por capa (Security Groups ALB → App → Data).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Seleccionar cómputo adecuado al lab (EC2 t4g.small ARM + Docker + ASG min 2 / max 4).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Garantizar persistencia y recuperación (MariaDB en capa Data + AWS Backup 7 días).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Automatizar el despliegue (Terraform, ECR, GitHub Actions workflow_dispatch).</w:t>
      </w: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Responsabilidades estratégicas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Alinear CAPEX→OPEX: pagar por uso del lab/cloud en lugar de comprar servidores físicos.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Priorizar time-to-market del catálogo (MVP) sin comprometer HA ni seguridad básica.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Documentar trade-offs del Learner Lab (sin OIDC/IAM custom, Session Token temporal).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Definir criterios de aceptación verificables (targets healthy, CRUD vía ALB en HTTP).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Así, cada decisión (por ejemplo un solo NAT por presupuesto del lab, o ASG en lugar de instancias fijas) queda vinculada al negocio: crecer sin interrupciones y operar con costo controlado.</w:t>
      </w: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1.2 Pilares del Well-Architected Framework (IE1.2.1)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El AWS Well-Architected Framework (WAF) organiza el diseño en seis pilares. A continuación se describen y se vinculan al caso FreshBox SpA.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Pilar</w:t>
            </w:r>
          </w:p>
        </w:tc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Qué implica</w:t>
            </w:r>
          </w:p>
        </w:tc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Aplicación en FreshBox EP1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Excelencia operativa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Operar, monitorear y mejorar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IaC con Terraform; deploy semi-auto (Actions); scripts validate-ep1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Seguridad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Protección de datos y privilegio mínimo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SG por capa; EBS cifrado; BD solo desde App; LabRole existente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Confiabilidad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Recuperación y HA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Multi-AZ, ALB, ASG min 2, AWS Backup 7 días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Eficiencia de rendimiento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Recursos acordes a la demanda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t4g.small ARM; contenedores; ASG hasta 4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Optimización de costos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Evitar desperdicio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1 NAT; sin HTTPS/ACM (lab); destroy al cerrar; on-demand locks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Sostenibilidad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Menor impacto energético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Graviton (ARM); apagado/destroy del lab; menos overprovisioning</w:t>
            </w:r>
          </w:p>
        </w:tc>
      </w:tr>
    </w:tbl>
    <w:p>
      <w:pPr>
        <w:widowControl/>
        <w:keepLines/>
      </w:pP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1.3 Análisis de arquitectura según Well-Architected (IE1.2.2)</w:t>
      </w: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Riesgos identificados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Pilar</w:t>
            </w:r>
          </w:p>
        </w:tc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Severidad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Seguridad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ALB solo HTTP (sin TLS) — tráfico en claro hacia Internet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Media (aceptable en lab)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Confiabilidad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Un solo NAT: SPOF de salida a Internet/ECR desde App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Media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Confiabilidad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MySQL/MariaDB en una sola AZ (EC2 dedicado)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Media-Alta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Excelencia operativa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Session Token del lab caduca → Actions falla si no se renueva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 operativa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Costos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Olvidar destroy mantiene NAT/ALB/EC2 consumiendo créditos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Seguridad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SCP deniega GetBucketObjectLockConfiguration en S3 state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Baja (operativa)</w:t>
            </w:r>
          </w:p>
        </w:tc>
      </w:tr>
    </w:tbl>
    <w:p>
      <w:pPr>
        <w:widowControl/>
        <w:keepLines/>
      </w:pP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Oportunidades de mejora y recomendaciones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Producción: añadir listener HTTPS (ACM) y redirigir HTTP→HTTPS.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Data: migrar a Amazon RDS Multi-AZ cuando el lab/curso lo permita.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Red: segundo NAT o endpoints VPC para ECR y reducir dependencia del NAT único.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Operación: alarmas CloudWatch en targets unhealthy y CPU del ASG.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CI/CD: fuera del lab, preferir OIDC a Secrets temporales.</w:t>
      </w: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1.4 Priorización de requerimientos (IE1.3.2)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Se clasifican requerimientos funcionales (RF) y no funcionales (RNF) según impacto en el MVP del catálogo y en el crecimiento del 40% trimestral.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872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Criterio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RF-01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Listar productos (GET)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Funcional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Core del catálogo</w:t>
            </w:r>
          </w:p>
        </w:tc>
      </w:tr>
      <w:tr>
        <w:trPr>
          <w:cantSplit/>
        </w:trPr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RF-02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Crear / actualizar / eliminar productos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Funcional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Administración MVP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RF-03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Frontend web vía ALB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Funcional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Canal de demo y negocio</w:t>
            </w:r>
          </w:p>
        </w:tc>
      </w:tr>
      <w:tr>
        <w:trPr>
          <w:cantSplit/>
        </w:trPr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RNF-01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 disponibilidad Multi-AZ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No funcional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Crecimiento sin downtime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RNF-02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Escalabilidad horizontal (ASG)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No funcional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Picos de tráfico</w:t>
            </w:r>
          </w:p>
        </w:tc>
      </w:tr>
      <w:tr>
        <w:trPr>
          <w:cantSplit/>
        </w:trPr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RNF-03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Segmentación de red y cifrado EBS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No funcional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Seguridad / cumplimiento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RNF-04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Backup de base de datos (7 días)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No funcional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Media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DR básico EP1</w:t>
            </w:r>
          </w:p>
        </w:tc>
      </w:tr>
      <w:tr>
        <w:trPr>
          <w:cantSplit/>
        </w:trPr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RF-04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Carrito y órdenes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Funcional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Baja</w:t>
            </w:r>
          </w:p>
        </w:tc>
        <w:tc>
          <w:tcPr>
            <w:tcW w:type="dxa" w:w="1872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Fuera de alcance EP1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RNF-05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HTTPS público / WAF / Shield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No funcional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Media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Diferido (lab/costo)</w:t>
            </w:r>
          </w:p>
        </w:tc>
      </w:tr>
    </w:tbl>
    <w:p>
      <w:pPr>
        <w:widowControl/>
        <w:keepLines/>
      </w:pP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La solución cloud prioriza Alta: CRUD + HA + seguridad por capas + ASG/contenedores. Lo diferido (carrito, TLS productivo) no bloquea el valor del EP1 ni la demo.</w:t>
      </w: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1.5 Comparación de modelos de nube (IE2.1.1)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34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Pública</w:t>
            </w:r>
          </w:p>
        </w:tc>
        <w:tc>
          <w:tcPr>
            <w:tcW w:type="dxa" w:w="234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Privada</w:t>
            </w:r>
          </w:p>
        </w:tc>
        <w:tc>
          <w:tcPr>
            <w:tcW w:type="dxa" w:w="234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Híbrida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Costos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OPEX, pago por uso; ideal para startup/MVP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CAPEX alto (datacenter/HW)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Mixto; complejidad de integración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Seguridad</w:t>
            </w:r>
          </w:p>
        </w:tc>
        <w:tc>
          <w:tcPr>
            <w:tcW w:type="dxa" w:w="234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Responsabilidad compartida; SG/IAM maduros</w:t>
            </w:r>
          </w:p>
        </w:tc>
        <w:tc>
          <w:tcPr>
            <w:tcW w:type="dxa" w:w="234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Control total físico/lógico</w:t>
            </w:r>
          </w:p>
        </w:tc>
        <w:tc>
          <w:tcPr>
            <w:tcW w:type="dxa" w:w="234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Políticas duales; mayor superficie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Escalabilidad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Elástica (ASG, regiones)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Limitada por capacidad comprada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Escalado cloud + legado on-prem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Ventaja FreshBox</w:t>
            </w:r>
          </w:p>
        </w:tc>
        <w:tc>
          <w:tcPr>
            <w:tcW w:type="dxa" w:w="234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Time-to-market y lab Academy</w:t>
            </w:r>
          </w:p>
        </w:tc>
        <w:tc>
          <w:tcPr>
            <w:tcW w:type="dxa" w:w="234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No justifica CAPEX en etapa 1</w:t>
            </w:r>
          </w:p>
        </w:tc>
        <w:tc>
          <w:tcPr>
            <w:tcW w:type="dxa" w:w="234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Overengineering para catálogo MVP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Desventaja FreshBox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Dependencia del proveedor / límites lab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Inversión y lead 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Operación más cara de sostener</w:t>
            </w:r>
          </w:p>
        </w:tc>
      </w:tr>
    </w:tbl>
    <w:p>
      <w:pPr>
        <w:widowControl/>
        <w:keepLines/>
      </w:pP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1.6 Justificación del modelo cloud (IE2.1.2)</w:t>
      </w: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Modelo seleccionado: nube pública (AWS)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Se selecciona nube pública AWS (Learner Lab) porque permite implementar en horas una arquitectura Multi-AZ con servicios de balanceo, registro de contenedores y backup, alineada al enunciado EP1 y a las restricciones académicas.</w:t>
      </w: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Justificación técnica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Servicios nativos: VPC, ALB, ASG, ECR, EC2, AWS Backup.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Contenedores ARM64 (Graviton) coherentes con t4g.small del lab.</w:t>
      </w:r>
    </w:p>
    <w:p>
      <w:pPr>
        <w:spacing w:after="120" w:line="240" w:lineRule="auto"/>
        <w:ind w:left="283"/>
        <w:widowControl/>
        <w:keepLines/>
      </w:pPr>
      <w:r>
        <w:rPr>
          <w:rFonts w:ascii="Aptos" w:hAnsi="Aptos"/>
          <w:b w:val="0"/>
          <w:color w:val="2B2B2B"/>
          <w:sz w:val="22"/>
        </w:rPr>
        <w:t>• IaC reproducible (Terraform workspace clases + state remoto S3/DynamoDB).</w:t>
      </w: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Justificación financiera (CAPEX → OPEX)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Evitar compra de servidores, switches y UPS (CAPEX). El lab opera bajo créditos/consumo (OPEX). Un solo NAT y destroy al cerrar sesión reducen desperdicio. La elasticidad del ASG evita dimensionar para el pico permanente.</w:t>
      </w: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Justificación estratégica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Soporta el crecimiento del 40% trimestral con HA (ALB + Multi-AZ + ASG) y deja una base extensible (RDS, HTTPS, más microservicios) sin rehacer la red de tres capas.</w:t>
      </w: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1.7 Validación del diseño (IE2.2.2)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La arquitectura implementada cumple el TO-BE de tres capas del enunciado. Validación teórica y evidencia de implementación en el Learner Lab: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Diseño / implementación</w:t>
            </w:r>
          </w:p>
        </w:tc>
        <w:tc>
          <w:tcPr>
            <w:tcW w:type="dxa" w:w="312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Alta disponibilidad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Subredes en 2 AZ; ALB; ASG min 2; health check /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● Cumple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Escalabilidad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ASG max 4; 5 contenedores Docker; imágenes en ECR ARM64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● Cumple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Buenas prácticas de red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VPC 10.0.0.0/22; 6 subredes; IGW; NAT; tablas de ruteo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● Cumple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Seguridad por capas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SG ALB:80←Internet; App:80←ALB; Data:3306←App; EBS cifrado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● Cumple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Datos y DR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EC2 MariaDB privada + AWS Backup retención 7 días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● Cumple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Aplicación CRUD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Frontend nginx + 4 APIs; CRUD vía http://ALB/api/products</w:t>
            </w:r>
          </w:p>
        </w:tc>
        <w:tc>
          <w:tcPr>
            <w:tcW w:type="dxa" w:w="312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● Cumple (demo)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Automatización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Terraform + GitHub Actions (plan/apply/full-deploy/images-only)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● Cumple</w:t>
            </w:r>
          </w:p>
        </w:tc>
      </w:tr>
    </w:tbl>
    <w:p>
      <w:pPr>
        <w:widowControl/>
        <w:keepLines/>
      </w:pPr>
    </w:p>
    <w:p>
      <w:pPr>
        <w:pStyle w:val="Heading2"/>
        <w:spacing w:before="240" w:after="120"/>
        <w:widowControl/>
        <w:keepLines/>
        <w:keepNext/>
      </w:pPr>
      <w:r>
        <w:rPr>
          <w:rFonts w:ascii="Aptos" w:hAnsi="Aptos"/>
          <w:b/>
          <w:color w:val="1A1A1A"/>
          <w:sz w:val="26"/>
        </w:rPr>
        <w:t>Diagrama lógico de capas (resumen)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Internet → ALB (pública) → ASG EC2+Docker (privada App, Multi-AZ) → EC2 MariaDB (privada Data) + AWS Backup. El detalle Mermaid del repositorio está en 04-architecture-evidence/arquitectura-freshbox.md (acompañar capturas de consola en la defensa oral / Componente 2).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shd w:fill="F4F5F6" w:val="clear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color="FFB800"/>
              <w:top w:val="nil"/>
              <w:bottom w:val="nil"/>
              <w:right w:val="nil"/>
            </w:tcBorders>
          </w:tcPr>
          <w:p>
            <w:pPr>
              <w:widowControl/>
              <w:keepLines/>
            </w:pPr>
            <w:r>
              <w:rPr>
                <w:rFonts w:ascii="Aptos" w:hAnsi="Aptos"/>
                <w:b/>
                <w:color w:val="1A1A1A"/>
                <w:sz w:val="20"/>
              </w:rPr>
              <w:t>Nota de diseño respecto al enunciado (puerto 443)</w:t>
            </w:r>
          </w:p>
          <w:p>
            <w:pPr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El enunciado sugiere 80/443 en ALB/App. En esta implementación el ALB expone solo HTTP :80 (sin certificado ACM en el lab). La segmentación mínima ALB→App→Data y el cifrado EBS se mantienen. Usar siempre http:// en la URL del ALB.</w:t>
            </w:r>
          </w:p>
        </w:tc>
      </w:tr>
    </w:tbl>
    <w:p>
      <w:pPr>
        <w:widowControl/>
        <w:keepLines/>
      </w:pP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Conclusiones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FreshBox SpA requiere una base cloud que acompañe su crecimiento sin elevar CAPEX ni comprometer disponibilidad. Se adoptó nube pública AWS con arquitectura de tres capas, contenedores y automatización, aplicando el Well-Architected Framework de forma explícita a riesgos y mejoras.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La implementación en AWS Academy Learner Lab valida HA (ALB/ASG/Multi-AZ), seguridad por capas, backup y CRUD end-to-end. Quedan como evolución natural HTTPS, RDS Multi-AZ y observabilidad avanzada, coherentes con el roadmap del negocio más allá del EP1.</w:t>
      </w: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Glosario</w:t>
      </w:r>
    </w:p>
    <w:p>
      <w:pPr>
        <w:spacing w:after="120" w:line="240" w:lineRule="auto"/>
        <w:widowControl/>
        <w:keepLines/>
      </w:pPr>
      <w:r>
        <w:rPr>
          <w:rFonts w:ascii="Aptos" w:hAnsi="Aptos"/>
          <w:b w:val="0"/>
          <w:color w:val="2B2B2B"/>
          <w:sz w:val="22"/>
        </w:rPr>
        <w:t>Siglas y términos usados en este informe (expansión completa en la primera aparición en el cuerpo).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680"/>
            <w:shd w:fill="1A1A1A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bottom w:val="single" w:sz="18" w:color="FFB800"/>
            </w:tcBorders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ALB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Application Load Balancer — balanceador de carga de aplicación HTTP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ASG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Auto Scaling Group — grupo de autoescalado de instancias EC2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AZ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Availability Zone — zona de disponibilidad dentro de una región AWS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CAPEX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Capital Expenditure — gasto de capital (inversión en activos)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CRUD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Create, Read, Update, Delete — operaciones básicas de datos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EBS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Elastic Block Store — volúmenes de bloque para EC2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ECR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Elastic Container Registry — registro de imágenes Docker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IaC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Infrastructure as Code — infraestructura definida como código (Terraform)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IGW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Internet Gateway — puerta de enlace a Internet de la VPC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MVP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Minimum Viable Product — producto mínimo viable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NAT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Network Address Translation — salida controlada desde subredes privadas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OPEX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Operational Expenditure — gasto operacional recurrente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SCP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Service Control Policy — política de control de servicios en Organizations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SG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Security Group — firewall stateful a nivel de instancia/ENI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VPC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Virtual Private Cloud — red virtual aislada en AWS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WAF (AWS)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Well-Architected Framework — marco de buenas prácticas AWS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AVA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Ambiente Virtual de Aprendizaje — entorno/aula digital Duoc (concepto)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LMS</w:t>
            </w:r>
          </w:p>
        </w:tc>
        <w:tc>
          <w:tcPr>
            <w:tcW w:type="dxa" w:w="4680"/>
            <w:shd w:fill="F0F4F8" w:val="clea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  <w:widowControl/>
              <w:keepLines/>
            </w:pPr>
            <w:r>
              <w:rPr>
                <w:rFonts w:ascii="Aptos" w:hAnsi="Aptos"/>
                <w:b w:val="0"/>
                <w:color w:val="2B2B2B"/>
                <w:sz w:val="20"/>
              </w:rPr>
              <w:t>Learning Management System — plataforma del aula (p. ej. Blackboard)</w:t>
            </w:r>
          </w:p>
        </w:tc>
      </w:tr>
    </w:tbl>
    <w:p>
      <w:pPr>
        <w:widowControl/>
        <w:keepLines/>
      </w:pPr>
    </w:p>
    <w:p>
      <w:pPr>
        <w:pStyle w:val="Heading1"/>
        <w:spacing w:before="360" w:after="160"/>
        <w:pBdr>
          <w:bottom w:val="single" w:sz="12" w:space="4" w:color="FFB800"/>
        </w:pBdr>
        <w:widowControl/>
        <w:keepLines/>
        <w:keepNext/>
      </w:pPr>
      <w:r>
        <w:rPr>
          <w:rFonts w:ascii="Aptos" w:hAnsi="Aptos"/>
          <w:b/>
          <w:color w:val="1A1A1A"/>
          <w:sz w:val="32"/>
        </w:rPr>
        <w:t>Referencias</w:t>
      </w:r>
    </w:p>
    <w:p>
      <w:pPr>
        <w:spacing w:after="80"/>
        <w:ind w:left="425" w:hanging="425"/>
        <w:widowControl/>
        <w:keepLines/>
      </w:pPr>
      <w:r>
        <w:rPr>
          <w:rFonts w:ascii="Aptos" w:hAnsi="Aptos"/>
          <w:b w:val="0"/>
          <w:color w:val="2B2B2B"/>
          <w:sz w:val="20"/>
        </w:rPr>
        <w:t>Amazon Web Services. (n.d.). AWS Well-Architected Framework. https://aws.amazon.com/architecture/well-architected/</w:t>
      </w:r>
    </w:p>
    <w:p>
      <w:pPr>
        <w:spacing w:after="80"/>
        <w:ind w:left="425" w:hanging="425"/>
        <w:widowControl/>
        <w:keepLines/>
      </w:pPr>
      <w:r>
        <w:rPr>
          <w:rFonts w:ascii="Aptos" w:hAnsi="Aptos"/>
          <w:b w:val="0"/>
          <w:color w:val="2B2B2B"/>
          <w:sz w:val="20"/>
        </w:rPr>
        <w:t>Amazon Web Services. (n.d.). Auto Scaling groups. https://docs.aws.amazon.com/autoscaling/</w:t>
      </w:r>
    </w:p>
    <w:p>
      <w:pPr>
        <w:spacing w:after="80"/>
        <w:ind w:left="425" w:hanging="425"/>
        <w:widowControl/>
        <w:keepLines/>
      </w:pPr>
      <w:r>
        <w:rPr>
          <w:rFonts w:ascii="Aptos" w:hAnsi="Aptos"/>
          <w:b w:val="0"/>
          <w:color w:val="2B2B2B"/>
          <w:sz w:val="20"/>
        </w:rPr>
        <w:t>Amazon Web Services. (n.d.). Elastic Load Balancing — Application Load Balancers. https://docs.aws.amazon.com/elasticloadbalancing/</w:t>
      </w:r>
    </w:p>
    <w:p>
      <w:pPr>
        <w:spacing w:after="80"/>
        <w:ind w:left="425" w:hanging="425"/>
        <w:widowControl/>
        <w:keepLines/>
      </w:pPr>
      <w:r>
        <w:rPr>
          <w:rFonts w:ascii="Aptos" w:hAnsi="Aptos"/>
          <w:b w:val="0"/>
          <w:color w:val="2B2B2B"/>
          <w:sz w:val="20"/>
        </w:rPr>
        <w:t>HashiCorp. (n.d.). Terraform AWS Provider documentation. https://registry.terraform.io/providers/hashicorp/aws/latest/docs</w:t>
      </w:r>
    </w:p>
    <w:p>
      <w:pPr>
        <w:spacing w:after="80"/>
        <w:ind w:left="425" w:hanging="425"/>
        <w:widowControl/>
        <w:keepLines/>
      </w:pPr>
      <w:r>
        <w:rPr>
          <w:rFonts w:ascii="Aptos" w:hAnsi="Aptos"/>
          <w:b w:val="0"/>
          <w:color w:val="2B2B2B"/>
          <w:sz w:val="20"/>
        </w:rPr>
        <w:t>Pastenet, I. A. (2026). Evaluación Parcial N°1 — ARY1102 Arquitectura Cloud (encargo estudiante). Duoc UC.</w:t>
      </w:r>
    </w:p>
    <w:p>
      <w:pPr>
        <w:spacing w:after="80"/>
        <w:ind w:left="425" w:hanging="425"/>
        <w:widowControl/>
        <w:keepLines/>
      </w:pPr>
      <w:r>
        <w:rPr>
          <w:rFonts w:ascii="Aptos" w:hAnsi="Aptos"/>
          <w:b w:val="0"/>
          <w:color w:val="2B2B2B"/>
          <w:sz w:val="20"/>
        </w:rPr>
        <w:t>Pastenet, I. A. (2026). desarrolloappEP1 (recursos de microservicios y guía docente). Duoc UC.</w:t>
      </w:r>
    </w:p>
    <w:sectPr>
      <w:headerReference w:type="default" r:id="rIdHeader"/>
      <w:footerReference w:type="default" r:id="rIdFooter"/>
      <w:titlePg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tbl>
    <w:tblPr>
      <w:tblW w:w="9360" w:type="dxa"/>
      <w:tblBorders>
        <w:top w:val="single" w:sz="6" w:space="6" w:color="CBD5E1"/>
        <w:left w:val="none"/>
        <w:bottom w:val="none"/>
        <w:right w:val="none"/>
        <w:insideH w:val="none"/>
        <w:insideV w:val="none"/>
      </w:tblBorders>
      <w:tblCellMar>
        <w:top w:w="60" w:type="dxa"/>
        <w:bottom w:w="0" w:type="dxa"/>
        <w:left w:w="0" w:type="dxa"/>
        <w:right w:w="0" w:type="dxa"/>
      </w:tblCellMar>
    </w:tblPr>
    <w:tblGrid>
      <w:gridCol w:w="6000"/>
      <w:gridCol w:w="3360"/>
    </w:tblGrid>
    <w:tr>
      <w:trPr>
        <w:cantSplit/>
      </w:trPr>
      <w:tc>
        <w:tcPr>
          <w:tcW w:w="6000" w:type="dxa"/>
          <w:vAlign w:val="top"/>
        </w:tcPr>
        <w:p>
          <w:pPr>
            <w:spacing w:before="0" w:after="0"/>
          </w:pPr>
          <w:r>
            <w:rPr>
              <w:b/>
              <w:sz w:val="16"/>
              <w:color w:val="1A1A1A"/>
            </w:rPr>
            <w:t>Duoc UC</w:t>
          </w:r>
          <w:r>
            <w:rPr>
              <w:sz w:val="16"/>
              <w:color w:val="71717A"/>
            </w:rPr>
            <w:t> · Documento de Uso Institucional</w:t>
          </w:r>
        </w:p>
      </w:tc>
      <w:tc>
        <w:tcPr>
          <w:tcW w:w="3360" w:type="dxa"/>
          <w:vAlign w:val="top"/>
        </w:tcPr>
        <w:p>
          <w:pPr>
            <w:jc w:val="right"/>
            <w:spacing w:before="0" w:after="0"/>
          </w:pPr>
          <w:r>
            <w:rPr>
              <w:sz w:val="16"/>
              <w:color w:val="71717A"/>
            </w:rPr>
            <w:t>Página </w:t>
          </w:r>
          <w:fldSimple w:instr="PAGE">
            <w:r>
              <w:rPr>
                <w:b/>
                <w:sz w:val="16"/>
                <w:color w:val="1A1A1A"/>
              </w:rPr>
              <w:t>1</w:t>
            </w:r>
          </w:fldSimple>
          <w:r>
            <w:rPr>
              <w:sz w:val="16"/>
              <w:color w:val="71717A"/>
            </w:rPr>
            <w:t> de </w:t>
          </w:r>
          <w:fldSimple w:instr="NUMPAGES">
            <w:r>
              <w:rPr>
                <w:b/>
                <w:sz w:val="16"/>
                <w:color w:val="1A1A1A"/>
              </w:rPr>
              <w:t>1</w:t>
            </w:r>
          </w:fldSimple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one"/>
        <w:left w:val="none"/>
        <w:bottom w:val="single" w:sz="10" w:space="4" w:color="FFB800"/>
        <w:right w:val="none"/>
        <w:insideH w:val="none"/>
        <w:insideV w:val="none"/>
      </w:tblBorders>
      <w:tblCellMar>
        <w:top w:w="0" w:type="dxa"/>
        <w:bottom w:w="60" w:type="dxa"/>
        <w:left w:w="0" w:type="dxa"/>
        <w:right w:w="0" w:type="dxa"/>
      </w:tblCellMar>
    </w:tblPr>
    <w:tblGrid>
      <w:gridCol w:w="5800"/>
      <w:gridCol w:w="3560"/>
    </w:tblGrid>
    <w:tr>
      <w:trPr>
        <w:cantSplit/>
      </w:trPr>
      <w:tc>
        <w:tcPr>
          <w:tcW w:w="5800" w:type="dxa"/>
          <w:vAlign w:val="bottom"/>
        </w:tcPr>
        <w:p>
          <w:pPr>
            <w:spacing w:before="0" w:after="0" w:line="240" w:lineRule="auto"/>
          </w:pPr>
          <w:r>
            <w:drawing>
              <wp:inline distT="0" distB="0" distL="0" distR="0">
                <wp:extent cx="800000" cy="318394"/>
                <wp:effectExtent l="0" t="0" r="0" b="0"/>
                <wp:docPr id="101" name="Logo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uoc-logo.png"/>
                        <pic:cNvPicPr/>
                      </pic:nvPicPr>
                      <pic:blipFill>
                        <a:blip r:embed="rIdLogoHeader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000" cy="3183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30" w:after="0" w:line="240" w:lineRule="auto"/>
          </w:pPr>
          <w:r>
            <w:rPr>
              <w:b/>
              <w:sz w:val="17"/>
              <w:color w:val="1A1A1A"/>
            </w:rPr>
            <w:t>Informe General de Gestión</w:t>
          </w:r>
        </w:p>
      </w:tc>
      <w:tc>
        <w:tcPr>
          <w:tcW w:w="3560" w:type="dxa"/>
          <w:vAlign w:val="bottom"/>
        </w:tcPr>
        <w:p>
          <w:pPr>
            <w:jc w:val="right"/>
            <w:spacing w:before="0" w:after="0" w:line="240" w:lineRule="auto"/>
          </w:pPr>
          <w:r>
            <w:rPr>
              <w:b/>
              <w:sz w:val="17"/>
              <w:color w:val="1A1A1A"/>
            </w:rPr>
            <w:t>INF-GEN-2026-03</w:t>
          </w:r>
        </w:p>
        <w:p>
          <w:pPr>
            <w:jc w:val="right"/>
            <w:spacing w:before="20" w:after="0" w:line="240" w:lineRule="auto"/>
          </w:pPr>
          <w:r>
            <w:rPr>
              <w:sz w:val="16"/>
              <w:color w:val="71717A"/>
            </w:rPr>
            <w:t>Versión 1.0 | 2026</w:t>
          </w:r>
        </w:p>
      </w:tc>
    </w:tr>
  </w:tbl>
  <w:p>
    <w:pPr>
      <w:spacing w:before="0" w:after="0"/>
    </w:pP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Calibri"/>
        <w:sz w:val="21"/>
        <w:szCs w:val="21"/>
        <w:color w:val="2B2B2B"/>
        <w:lang w:val="es-CL"/>
      </w:rPr>
    </w:rPrDefault>
    <w:pPrDefault>
      <w:pPr>
        <w:spacing w:line="276" w:lineRule="auto" w:after="120"/>
      </w:pPr>
    </w:pPrDefault>
  </w:docDefaults>
  <!-- Estilo Normal -->
  <w:style w:type="paragraph" w:default="1" w:styleId="Normal">
    <w:name w:val="Normal"/>
    <w:qFormat/>
    <w:rPr>
      <w:rFonts w:ascii="Aptos" w:hAnsi="Aptos" w:cs="Calibri"/>
      <w:sz w:val="21"/>
      <w:color w:val="2B2B2B"/>
    </w:rPr>
  </w:style>
  <!-- Título 1 -->
  <w:style w:type="paragraph" w:styleId="Heading1">
    <w:name w:val="heading 1"/>
    <w:basedOn w:val="Normal"/>
    <w:next w:val="Normal"/>
    <w:qFormat/>
    <w:pPr>
      <w:keepNext/>
      <w:spacing w:before="280" w:after="100"/>
      <w:pBdr>
        <w:bottom w:val="single" w:sz="12" w:space="4" w:color="FFB800"/>
      </w:pBdr>
    </w:pPr>
    <w:rPr>
      <w:rFonts w:ascii="Aptos Display" w:hAnsi="Aptos Display" w:cs="Calibri"/>
      <w:b/>
      <w:bCs/>
      <w:sz w:val="30"/>
      <w:szCs w:val="30"/>
      <w:color w:val="1A1A1A"/>
    </w:rPr>
  </w:style>
  <!-- Título 2 -->
  <w:style w:type="paragraph" w:styleId="Heading2">
    <w:name w:val="heading 2"/>
    <w:basedOn w:val="Normal"/>
    <w:next w:val="Normal"/>
    <w:qFormat/>
    <w:pPr>
      <w:keepNext/>
      <w:spacing w:before="200" w:after="80"/>
    </w:pPr>
    <w:rPr>
      <w:rFonts w:ascii="Aptos" w:hAnsi="Aptos" w:cs="Calibri"/>
      <w:b/>
      <w:bCs/>
      <w:sz w:val="25"/>
      <w:szCs w:val="25"/>
      <w:color w:val="1A1A1A"/>
    </w:rPr>
  </w:style>
  <!-- Título 3 -->
  <w:style w:type="paragraph" w:styleId="Heading3">
    <w:name w:val="heading 3"/>
    <w:basedOn w:val="Normal"/>
    <w:next w:val="Normal"/>
    <w:qFormat/>
    <w:pPr>
      <w:keepNext/>
      <w:spacing w:before="140" w:after="60"/>
    </w:pPr>
    <w:rPr>
      <w:rFonts w:ascii="Aptos" w:hAnsi="Aptos" w:cs="Calibri"/>
      <w:b/>
      <w:bCs/>
      <w:sz w:val="21"/>
      <w:szCs w:val="21"/>
      <w:color w:val="71717A"/>
    </w:rPr>
  </w:style>
  <!-- Pie de Imagen / Epígrafe -->
  <w:style w:type="paragraph" w:styleId="Caption">
    <w:name w:val="caption"/>
    <w:basedOn w:val="Normal"/>
    <w:qFormat/>
    <w:pPr>
      <w:jc w:val="center"/>
      <w:spacing w:before="60" w:after="160"/>
    </w:pPr>
    <w:rPr>
      <w:rFonts w:ascii="Aptos" w:hAnsi="Aptos"/>
      <w:i/>
      <w:sz w:val="18"/>
      <w:szCs w:val="18"/>
      <w:color w:val="71717A"/>
    </w:rPr>
  </w:style>
  <!-- Estilo para Encabezado -->
  <w:style w:type="paragraph" w:styleId="Header">
    <w:name w:val="header"/>
    <w:basedOn w:val="Normal"/>
    <w:rPr>
      <w:sz w:val="16"/>
      <w:szCs w:val="16"/>
      <w:color w:val="71717A"/>
    </w:rPr>
  </w:style>
  <!-- Estilo para Pie de Página -->
  <w:style w:type="paragraph" w:styleId="Footer">
    <w:name w:val="footer"/>
    <w:basedOn w:val="Normal"/>
    <w:rPr>
      <w:sz w:val="16"/>
      <w:szCs w:val="16"/>
      <w:color w:val="71717A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Logo" Type="http://schemas.openxmlformats.org/officeDocument/2006/relationships/image" Target="media/duoc-logo.png"/><Relationship Id="rIdSamplePhoto" Type="http://schemas.openxmlformats.org/officeDocument/2006/relationships/image" Target="media/sample-photo.png"/></Relationships>
</file>

<file path=word/_rels/header1.xml.rels><?xml version='1.0' encoding='UTF-8' standalone='yes'?>
<Relationships xmlns="http://schemas.openxmlformats.org/package/2006/relationships"><Relationship Id="rIdLogoHeader" Type="http://schemas.openxmlformats.org/officeDocument/2006/relationships/image" Target="media/duoc-logo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Plantilla_Duoc_Informe General de Gestión</Template>
  <Application>Microsoft Word</Application>
  <Company>Duoc UC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General de Gestión</dc:title>
  <dc:creator>Duoc UC</dc:creator>
  <cp:category>Informe General de Gestión</cp:category>
  <dc:description>Documento Corporativo Institucional Duoc UC</dc:description>
  <cp:lastModifiedBy>Duoc UC</cp:lastModifiedBy>
  <dcterms:created xsi:type="dcterms:W3CDTF">2026-09-12T12:00:00Z</dcterms:created>
  <dcterms:modified xsi:type="dcterms:W3CDTF">2026-09-12T12:00:00Z</dcterms:modified>
</cp:coreProperties>
</file>