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6F66"/>
          <w:sz w:val="44"/>
        </w:rPr>
        <w:t>Plataforma Web</w:t>
      </w:r>
    </w:p>
    <w:p>
      <w:pPr>
        <w:jc w:val="center"/>
      </w:pPr>
      <w:r>
        <w:rPr>
          <w:color w:val="555F66"/>
          <w:sz w:val="24"/>
        </w:rPr>
        <w:t>Defensa de implementación — Sprint 1</w:t>
      </w:r>
    </w:p>
    <w:p>
      <w:pPr>
        <w:spacing w:after="280"/>
        <w:jc w:val="center"/>
      </w:pPr>
      <w:r>
        <w:rPr>
          <w:color w:val="555F66"/>
          <w:sz w:val="19"/>
        </w:rPr>
        <w:t>Grupo 15 · Sistemas de Información II · 10 de septiembre de 2026</w:t>
      </w:r>
    </w:p>
    <w:p>
      <w:pPr>
        <w:pStyle w:val="Heading1"/>
      </w:pPr>
      <w:r>
        <w:t>1. Qué se defiende acá</w:t>
      </w:r>
    </w:p>
    <w:p>
      <w:r>
        <w:t>Este documento acompaña la defensa de la parte web. No describe pantallas: explica cómo está construido el sistema, dónde vive cada cosa en el código y por qué se tomó cada decisión. El documento de la aplicación móvil es su hermano: comparten el capítulo de conexión con el backend, porque el backend es el mismo.</w:t>
      </w:r>
    </w:p>
    <w:p>
      <w:r>
        <w:t>Todo lo que se afirma acá fue verificado contra el código y contra el despliegue en la nube el 10 de septiembre de 2026. Donde algo no se pudo comprobar, se dice.</w:t>
      </w:r>
    </w:p>
    <w:p>
      <w:pPr>
        <w:pStyle w:val="Heading1"/>
      </w:pPr>
      <w:r>
        <w:t>2. Cómo está partido el sistema</w:t>
      </w:r>
    </w:p>
    <w:p>
      <w:r>
        <w:t>Son tres piezas independientes que se despliegan por separado. El backend no genera páginas HTML: expone una API REST que devuelve JSON. La web en React y la aplicación en Flutter son dos clientes distintos de esa misma API, y ninguno de los dos conoce al otro.</w:t>
      </w:r>
    </w:p>
    <w:tbl>
      <w:tblPr>
        <w:tblW w:type="auto" w:w="0"/>
        <w:jc w:val="center"/>
        <w:tblLook w:firstColumn="1" w:firstRow="1" w:lastColumn="0" w:lastRow="0" w:noHBand="0" w:noVBand="1" w:val="04A0"/>
      </w:tblPr>
      <w:tblGrid>
        <w:gridCol w:w="9648"/>
      </w:tblGrid>
      <w:tr>
        <w:tc>
          <w:tcPr>
            <w:tcW w:type="dxa" w:w="9648"/>
            <w:shd w:val="clear" w:fill="F2F4F5"/>
          </w:tcPr>
          <w:p>
            <w:pPr>
              <w:spacing w:after="0" w:line="240" w:lineRule="auto"/>
            </w:pPr>
            <w:r/>
            <w:r>
              <w:rPr>
                <w:rFonts w:ascii="Consolas" w:hAnsi="Consolas"/>
                <w:color w:val="1A2025"/>
                <w:sz w:val="17"/>
              </w:rPr>
              <w:t xml:space="preserve">  [ Web · React + Vite ]  ──┐</w:t>
            </w:r>
          </w:p>
          <w:p>
            <w:pPr>
              <w:spacing w:after="0" w:line="240" w:lineRule="auto"/>
            </w:pPr>
            <w:r>
              <w:rPr>
                <w:rFonts w:ascii="Consolas" w:hAnsi="Consolas"/>
                <w:color w:val="1A2025"/>
                <w:sz w:val="17"/>
              </w:rPr>
              <w:t xml:space="preserve">                            ├──  HTTPS / JSON  ──▶  [ API · Django REST ]  ──▶  [ PostgreSQL ]</w:t>
            </w:r>
          </w:p>
          <w:p>
            <w:pPr>
              <w:spacing w:after="0" w:line="240" w:lineRule="auto"/>
            </w:pPr>
            <w:r>
              <w:rPr>
                <w:rFonts w:ascii="Consolas" w:hAnsi="Consolas"/>
                <w:color w:val="1A2025"/>
                <w:sz w:val="17"/>
              </w:rPr>
              <w:t xml:space="preserve">  [ Móvil · Flutter ]  ─────┘                        Railway                     Supabase</w:t>
            </w:r>
          </w:p>
        </w:tc>
      </w:tr>
    </w:tbl>
    <w:p>
      <w:pPr>
        <w:spacing w:after="40"/>
      </w:pPr>
    </w:p>
    <w:tbl>
      <w:tblPr>
        <w:tblStyle w:val="TableGrid"/>
        <w:tblW w:type="auto" w:w="0"/>
        <w:jc w:val="center"/>
        <w:tblLook w:firstColumn="1" w:firstRow="1" w:lastColumn="0" w:lastRow="0" w:noHBand="0" w:noVBand="1" w:val="04A0"/>
      </w:tblPr>
      <w:tblGrid>
        <w:gridCol w:w="3216"/>
        <w:gridCol w:w="3216"/>
        <w:gridCol w:w="3216"/>
      </w:tblGrid>
      <w:tr>
        <w:tc>
          <w:tcPr>
            <w:tcW w:type="dxa" w:w="2160"/>
            <w:shd w:val="clear" w:fill="1F6F66"/>
          </w:tcPr>
          <w:p>
            <w:r/>
            <w:r>
              <w:rPr>
                <w:b/>
                <w:color w:val="FFFFFF"/>
                <w:sz w:val="18"/>
              </w:rPr>
              <w:t>Pieza</w:t>
            </w:r>
          </w:p>
        </w:tc>
        <w:tc>
          <w:tcPr>
            <w:tcW w:type="dxa" w:w="3744"/>
            <w:shd w:val="clear" w:fill="1F6F66"/>
          </w:tcPr>
          <w:p>
            <w:r/>
            <w:r>
              <w:rPr>
                <w:b/>
                <w:color w:val="FFFFFF"/>
                <w:sz w:val="18"/>
              </w:rPr>
              <w:t>Tecnología</w:t>
            </w:r>
          </w:p>
        </w:tc>
        <w:tc>
          <w:tcPr>
            <w:tcW w:type="dxa" w:w="3600"/>
            <w:shd w:val="clear" w:fill="1F6F66"/>
          </w:tcPr>
          <w:p>
            <w:r/>
            <w:r>
              <w:rPr>
                <w:b/>
                <w:color w:val="FFFFFF"/>
                <w:sz w:val="18"/>
              </w:rPr>
              <w:t>Dónde vive en el repositorio</w:t>
            </w:r>
          </w:p>
        </w:tc>
      </w:tr>
      <w:tr>
        <w:tc>
          <w:tcPr>
            <w:tcW w:type="dxa" w:w="2160"/>
          </w:tcPr>
          <w:p>
            <w:pPr>
              <w:spacing w:after="40"/>
            </w:pPr>
            <w:r/>
            <w:r>
              <w:rPr>
                <w:sz w:val="17"/>
              </w:rPr>
              <w:t>API REST</w:t>
            </w:r>
          </w:p>
        </w:tc>
        <w:tc>
          <w:tcPr>
            <w:tcW w:type="dxa" w:w="3744"/>
          </w:tcPr>
          <w:p>
            <w:pPr>
              <w:spacing w:after="40"/>
            </w:pPr>
            <w:r/>
            <w:r>
              <w:rPr>
                <w:sz w:val="17"/>
              </w:rPr>
              <w:t>Django 5 + Django REST Framework</w:t>
            </w:r>
          </w:p>
        </w:tc>
        <w:tc>
          <w:tcPr>
            <w:tcW w:type="dxa" w:w="3600"/>
          </w:tcPr>
          <w:p>
            <w:pPr>
              <w:spacing w:after="40"/>
            </w:pPr>
            <w:r/>
            <w:r>
              <w:rPr>
                <w:sz w:val="17"/>
              </w:rPr>
              <w:t>backend/</w:t>
            </w:r>
          </w:p>
        </w:tc>
      </w:tr>
      <w:tr>
        <w:tc>
          <w:tcPr>
            <w:tcW w:type="dxa" w:w="2160"/>
            <w:shd w:val="clear" w:fill="F7F9F9"/>
          </w:tcPr>
          <w:p>
            <w:pPr>
              <w:spacing w:after="40"/>
            </w:pPr>
            <w:r/>
            <w:r>
              <w:rPr>
                <w:sz w:val="17"/>
              </w:rPr>
              <w:t>Plataforma web</w:t>
            </w:r>
          </w:p>
        </w:tc>
        <w:tc>
          <w:tcPr>
            <w:tcW w:type="dxa" w:w="3744"/>
            <w:shd w:val="clear" w:fill="F7F9F9"/>
          </w:tcPr>
          <w:p>
            <w:pPr>
              <w:spacing w:after="40"/>
            </w:pPr>
            <w:r/>
            <w:r>
              <w:rPr>
                <w:sz w:val="17"/>
              </w:rPr>
              <w:t>React 19 + TypeScript + Vite + Tailwind</w:t>
            </w:r>
          </w:p>
        </w:tc>
        <w:tc>
          <w:tcPr>
            <w:tcW w:type="dxa" w:w="3600"/>
            <w:shd w:val="clear" w:fill="F7F9F9"/>
          </w:tcPr>
          <w:p>
            <w:pPr>
              <w:spacing w:after="40"/>
            </w:pPr>
            <w:r/>
            <w:r>
              <w:rPr>
                <w:sz w:val="17"/>
              </w:rPr>
              <w:t>frontend/</w:t>
            </w:r>
          </w:p>
        </w:tc>
      </w:tr>
      <w:tr>
        <w:tc>
          <w:tcPr>
            <w:tcW w:type="dxa" w:w="2160"/>
          </w:tcPr>
          <w:p>
            <w:pPr>
              <w:spacing w:after="40"/>
            </w:pPr>
            <w:r/>
            <w:r>
              <w:rPr>
                <w:sz w:val="17"/>
              </w:rPr>
              <w:t>Aplicación móvil</w:t>
            </w:r>
          </w:p>
        </w:tc>
        <w:tc>
          <w:tcPr>
            <w:tcW w:type="dxa" w:w="3744"/>
          </w:tcPr>
          <w:p>
            <w:pPr>
              <w:spacing w:after="40"/>
            </w:pPr>
            <w:r/>
            <w:r>
              <w:rPr>
                <w:sz w:val="17"/>
              </w:rPr>
              <w:t>Flutter 3.47 + Dart 3.13</w:t>
            </w:r>
          </w:p>
        </w:tc>
        <w:tc>
          <w:tcPr>
            <w:tcW w:type="dxa" w:w="3600"/>
          </w:tcPr>
          <w:p>
            <w:pPr>
              <w:spacing w:after="40"/>
            </w:pPr>
            <w:r/>
            <w:r>
              <w:rPr>
                <w:sz w:val="17"/>
              </w:rPr>
              <w:t>mobile/</w:t>
            </w:r>
          </w:p>
        </w:tc>
      </w:tr>
      <w:tr>
        <w:tc>
          <w:tcPr>
            <w:tcW w:type="dxa" w:w="2160"/>
            <w:shd w:val="clear" w:fill="F7F9F9"/>
          </w:tcPr>
          <w:p>
            <w:pPr>
              <w:spacing w:after="40"/>
            </w:pPr>
            <w:r/>
            <w:r>
              <w:rPr>
                <w:sz w:val="17"/>
              </w:rPr>
              <w:t>Base de datos</w:t>
            </w:r>
          </w:p>
        </w:tc>
        <w:tc>
          <w:tcPr>
            <w:tcW w:type="dxa" w:w="3744"/>
            <w:shd w:val="clear" w:fill="F7F9F9"/>
          </w:tcPr>
          <w:p>
            <w:pPr>
              <w:spacing w:after="40"/>
            </w:pPr>
            <w:r/>
            <w:r>
              <w:rPr>
                <w:sz w:val="17"/>
              </w:rPr>
              <w:t>PostgreSQL 16 con Row Level Security</w:t>
            </w:r>
          </w:p>
        </w:tc>
        <w:tc>
          <w:tcPr>
            <w:tcW w:type="dxa" w:w="3600"/>
            <w:shd w:val="clear" w:fill="F7F9F9"/>
          </w:tcPr>
          <w:p>
            <w:pPr>
              <w:spacing w:after="40"/>
            </w:pPr>
            <w:r/>
            <w:r>
              <w:rPr>
                <w:sz w:val="17"/>
              </w:rPr>
              <w:t>Supabase (us-east-1)</w:t>
            </w:r>
          </w:p>
        </w:tc>
      </w:tr>
    </w:tbl>
    <w:p>
      <w:pPr>
        <w:spacing w:after="40"/>
      </w:pPr>
    </w:p>
    <w:p>
      <w:r>
        <w:t>El backend está partido en siete aplicaciones de Django, y cada una publica sus rutas bajo un prefijo propio. El archivo config/urls.py está cerrado por convención del equipo: cada aplicación declara sus rutas en su propio urls.py, para que dos personas no toquen el mismo archivo en el mismo sprint.</w:t>
      </w:r>
    </w:p>
    <w:tbl>
      <w:tblPr>
        <w:tblStyle w:val="TableGrid"/>
        <w:tblW w:type="auto" w:w="0"/>
        <w:jc w:val="center"/>
        <w:tblLook w:firstColumn="1" w:firstRow="1" w:lastColumn="0" w:lastRow="0" w:noHBand="0" w:noVBand="1" w:val="04A0"/>
      </w:tblPr>
      <w:tblGrid>
        <w:gridCol w:w="3216"/>
        <w:gridCol w:w="3216"/>
        <w:gridCol w:w="3216"/>
      </w:tblGrid>
      <w:tr>
        <w:tc>
          <w:tcPr>
            <w:tcW w:type="dxa" w:w="2160"/>
            <w:shd w:val="clear" w:fill="1F6F66"/>
          </w:tcPr>
          <w:p>
            <w:r/>
            <w:r>
              <w:rPr>
                <w:b/>
                <w:color w:val="FFFFFF"/>
                <w:sz w:val="18"/>
              </w:rPr>
              <w:t>Prefijo</w:t>
            </w:r>
          </w:p>
        </w:tc>
        <w:tc>
          <w:tcPr>
            <w:tcW w:type="dxa" w:w="1872"/>
            <w:shd w:val="clear" w:fill="1F6F66"/>
          </w:tcPr>
          <w:p>
            <w:r/>
            <w:r>
              <w:rPr>
                <w:b/>
                <w:color w:val="FFFFFF"/>
                <w:sz w:val="18"/>
              </w:rPr>
              <w:t>Aplicación</w:t>
            </w:r>
          </w:p>
        </w:tc>
        <w:tc>
          <w:tcPr>
            <w:tcW w:type="dxa" w:w="5472"/>
            <w:shd w:val="clear" w:fill="1F6F66"/>
          </w:tcPr>
          <w:p>
            <w:r/>
            <w:r>
              <w:rPr>
                <w:b/>
                <w:color w:val="FFFFFF"/>
                <w:sz w:val="18"/>
              </w:rPr>
              <w:t>De qué se ocupa</w:t>
            </w:r>
          </w:p>
        </w:tc>
      </w:tr>
      <w:tr>
        <w:tc>
          <w:tcPr>
            <w:tcW w:type="dxa" w:w="2160"/>
          </w:tcPr>
          <w:p>
            <w:pPr>
              <w:spacing w:after="40"/>
            </w:pPr>
            <w:r/>
            <w:r>
              <w:rPr>
                <w:sz w:val="17"/>
              </w:rPr>
              <w:t>/api/health/</w:t>
            </w:r>
          </w:p>
        </w:tc>
        <w:tc>
          <w:tcPr>
            <w:tcW w:type="dxa" w:w="1872"/>
          </w:tcPr>
          <w:p>
            <w:pPr>
              <w:spacing w:after="40"/>
            </w:pPr>
            <w:r/>
            <w:r>
              <w:rPr>
                <w:sz w:val="17"/>
              </w:rPr>
              <w:t>config</w:t>
            </w:r>
          </w:p>
        </w:tc>
        <w:tc>
          <w:tcPr>
            <w:tcW w:type="dxa" w:w="5472"/>
          </w:tcPr>
          <w:p>
            <w:pPr>
              <w:spacing w:after="40"/>
            </w:pPr>
            <w:r/>
            <w:r>
              <w:rPr>
                <w:sz w:val="17"/>
              </w:rPr>
              <w:t>Comprobación de vida del servicio</w:t>
            </w:r>
          </w:p>
        </w:tc>
      </w:tr>
      <w:tr>
        <w:tc>
          <w:tcPr>
            <w:tcW w:type="dxa" w:w="2160"/>
            <w:shd w:val="clear" w:fill="F7F9F9"/>
          </w:tcPr>
          <w:p>
            <w:pPr>
              <w:spacing w:after="40"/>
            </w:pPr>
            <w:r/>
            <w:r>
              <w:rPr>
                <w:sz w:val="17"/>
              </w:rPr>
              <w:t>/api/platform/</w:t>
            </w:r>
          </w:p>
        </w:tc>
        <w:tc>
          <w:tcPr>
            <w:tcW w:type="dxa" w:w="1872"/>
            <w:shd w:val="clear" w:fill="F7F9F9"/>
          </w:tcPr>
          <w:p>
            <w:pPr>
              <w:spacing w:after="40"/>
            </w:pPr>
            <w:r/>
            <w:r>
              <w:rPr>
                <w:sz w:val="17"/>
              </w:rPr>
              <w:t>tenancy</w:t>
            </w:r>
          </w:p>
        </w:tc>
        <w:tc>
          <w:tcPr>
            <w:tcW w:type="dxa" w:w="5472"/>
            <w:shd w:val="clear" w:fill="F7F9F9"/>
          </w:tcPr>
          <w:p>
            <w:pPr>
              <w:spacing w:after="40"/>
            </w:pPr>
            <w:r/>
            <w:r>
              <w:rPr>
                <w:sz w:val="17"/>
              </w:rPr>
              <w:t>Organizaciones, planes, suscripciones, métricas</w:t>
            </w:r>
          </w:p>
        </w:tc>
      </w:tr>
      <w:tr>
        <w:tc>
          <w:tcPr>
            <w:tcW w:type="dxa" w:w="2160"/>
          </w:tcPr>
          <w:p>
            <w:pPr>
              <w:spacing w:after="40"/>
            </w:pPr>
            <w:r/>
            <w:r>
              <w:rPr>
                <w:sz w:val="17"/>
              </w:rPr>
              <w:t>/api/accounts/</w:t>
            </w:r>
          </w:p>
        </w:tc>
        <w:tc>
          <w:tcPr>
            <w:tcW w:type="dxa" w:w="1872"/>
          </w:tcPr>
          <w:p>
            <w:pPr>
              <w:spacing w:after="40"/>
            </w:pPr>
            <w:r/>
            <w:r>
              <w:rPr>
                <w:sz w:val="17"/>
              </w:rPr>
              <w:t>accounts</w:t>
            </w:r>
          </w:p>
        </w:tc>
        <w:tc>
          <w:tcPr>
            <w:tcW w:type="dxa" w:w="5472"/>
          </w:tcPr>
          <w:p>
            <w:pPr>
              <w:spacing w:after="40"/>
            </w:pPr>
            <w:r/>
            <w:r>
              <w:rPr>
                <w:sz w:val="17"/>
              </w:rPr>
              <w:t>Sesión, registro, roles, permisos, usuarios</w:t>
            </w:r>
          </w:p>
        </w:tc>
      </w:tr>
      <w:tr>
        <w:tc>
          <w:tcPr>
            <w:tcW w:type="dxa" w:w="2160"/>
            <w:shd w:val="clear" w:fill="F7F9F9"/>
          </w:tcPr>
          <w:p>
            <w:pPr>
              <w:spacing w:after="40"/>
            </w:pPr>
            <w:r/>
            <w:r>
              <w:rPr>
                <w:sz w:val="17"/>
              </w:rPr>
              <w:t>/api/catalog/</w:t>
            </w:r>
          </w:p>
        </w:tc>
        <w:tc>
          <w:tcPr>
            <w:tcW w:type="dxa" w:w="1872"/>
            <w:shd w:val="clear" w:fill="F7F9F9"/>
          </w:tcPr>
          <w:p>
            <w:pPr>
              <w:spacing w:after="40"/>
            </w:pPr>
            <w:r/>
            <w:r>
              <w:rPr>
                <w:sz w:val="17"/>
              </w:rPr>
              <w:t>catalog</w:t>
            </w:r>
          </w:p>
        </w:tc>
        <w:tc>
          <w:tcPr>
            <w:tcW w:type="dxa" w:w="5472"/>
            <w:shd w:val="clear" w:fill="F7F9F9"/>
          </w:tcPr>
          <w:p>
            <w:pPr>
              <w:spacing w:after="40"/>
            </w:pPr>
            <w:r/>
            <w:r>
              <w:rPr>
                <w:sz w:val="17"/>
              </w:rPr>
              <w:t>Sucursales, especialidades, profesionales</w:t>
            </w:r>
          </w:p>
        </w:tc>
      </w:tr>
      <w:tr>
        <w:tc>
          <w:tcPr>
            <w:tcW w:type="dxa" w:w="2160"/>
          </w:tcPr>
          <w:p>
            <w:pPr>
              <w:spacing w:after="40"/>
            </w:pPr>
            <w:r/>
            <w:r>
              <w:rPr>
                <w:sz w:val="17"/>
              </w:rPr>
              <w:t>/api/scheduling/</w:t>
            </w:r>
          </w:p>
        </w:tc>
        <w:tc>
          <w:tcPr>
            <w:tcW w:type="dxa" w:w="1872"/>
          </w:tcPr>
          <w:p>
            <w:pPr>
              <w:spacing w:after="40"/>
            </w:pPr>
            <w:r/>
            <w:r>
              <w:rPr>
                <w:sz w:val="17"/>
              </w:rPr>
              <w:t>scheduling</w:t>
            </w:r>
          </w:p>
        </w:tc>
        <w:tc>
          <w:tcPr>
            <w:tcW w:type="dxa" w:w="5472"/>
          </w:tcPr>
          <w:p>
            <w:pPr>
              <w:spacing w:after="40"/>
            </w:pPr>
            <w:r/>
            <w:r>
              <w:rPr>
                <w:sz w:val="17"/>
              </w:rPr>
              <w:t>Agendas, bloqueos, disponibilidad</w:t>
            </w:r>
          </w:p>
        </w:tc>
      </w:tr>
      <w:tr>
        <w:tc>
          <w:tcPr>
            <w:tcW w:type="dxa" w:w="2160"/>
            <w:shd w:val="clear" w:fill="F7F9F9"/>
          </w:tcPr>
          <w:p>
            <w:pPr>
              <w:spacing w:after="40"/>
            </w:pPr>
            <w:r/>
            <w:r>
              <w:rPr>
                <w:sz w:val="17"/>
              </w:rPr>
              <w:t>/api/patients/</w:t>
            </w:r>
          </w:p>
        </w:tc>
        <w:tc>
          <w:tcPr>
            <w:tcW w:type="dxa" w:w="1872"/>
            <w:shd w:val="clear" w:fill="F7F9F9"/>
          </w:tcPr>
          <w:p>
            <w:pPr>
              <w:spacing w:after="40"/>
            </w:pPr>
            <w:r/>
            <w:r>
              <w:rPr>
                <w:sz w:val="17"/>
              </w:rPr>
              <w:t>patients</w:t>
            </w:r>
          </w:p>
        </w:tc>
        <w:tc>
          <w:tcPr>
            <w:tcW w:type="dxa" w:w="5472"/>
            <w:shd w:val="clear" w:fill="F7F9F9"/>
          </w:tcPr>
          <w:p>
            <w:pPr>
              <w:spacing w:after="40"/>
            </w:pPr>
            <w:r/>
            <w:r>
              <w:rPr>
                <w:sz w:val="17"/>
              </w:rPr>
              <w:t>Dependientes e historial clínico</w:t>
            </w:r>
          </w:p>
        </w:tc>
      </w:tr>
      <w:tr>
        <w:tc>
          <w:tcPr>
            <w:tcW w:type="dxa" w:w="2160"/>
          </w:tcPr>
          <w:p>
            <w:pPr>
              <w:spacing w:after="40"/>
            </w:pPr>
            <w:r/>
            <w:r>
              <w:rPr>
                <w:sz w:val="17"/>
              </w:rPr>
              <w:t>/api/audit/</w:t>
            </w:r>
          </w:p>
        </w:tc>
        <w:tc>
          <w:tcPr>
            <w:tcW w:type="dxa" w:w="1872"/>
          </w:tcPr>
          <w:p>
            <w:pPr>
              <w:spacing w:after="40"/>
            </w:pPr>
            <w:r/>
            <w:r>
              <w:rPr>
                <w:sz w:val="17"/>
              </w:rPr>
              <w:t>audit</w:t>
            </w:r>
          </w:p>
        </w:tc>
        <w:tc>
          <w:tcPr>
            <w:tcW w:type="dxa" w:w="5472"/>
          </w:tcPr>
          <w:p>
            <w:pPr>
              <w:spacing w:after="40"/>
            </w:pPr>
            <w:r/>
            <w:r>
              <w:rPr>
                <w:sz w:val="17"/>
              </w:rPr>
              <w:t>Bitácora de auditoría</w:t>
            </w:r>
          </w:p>
        </w:tc>
      </w:tr>
    </w:tbl>
    <w:p>
      <w:pPr>
        <w:spacing w:after="40"/>
      </w:pPr>
    </w:p>
    <w:p>
      <w:pPr>
        <w:pStyle w:val="Heading1"/>
      </w:pPr>
      <w:r>
        <w:t>3. Cómo se conecta la web con el backend</w:t>
      </w:r>
    </w:p>
    <w:p>
      <w:pPr>
        <w:pStyle w:val="Heading2"/>
      </w:pPr>
      <w:r>
        <w:t>3.1 La dirección del backend no está en el código</w:t>
      </w:r>
    </w:p>
    <w:p>
      <w:r>
        <w:t>El frontend no tiene la URL del backend escrita fija. Entra como variable de entorno, para poder apuntar a la máquina propia, a la de un compañero en la red local o a producción sin tocar una línea de código.</w:t>
      </w:r>
    </w:p>
    <w:tbl>
      <w:tblPr>
        <w:tblW w:type="auto" w:w="0"/>
        <w:jc w:val="center"/>
        <w:tblLook w:firstColumn="1" w:firstRow="1" w:lastColumn="0" w:lastRow="0" w:noHBand="0" w:noVBand="1" w:val="04A0"/>
      </w:tblPr>
      <w:tblGrid>
        <w:gridCol w:w="9648"/>
      </w:tblGrid>
      <w:tr>
        <w:tc>
          <w:tcPr>
            <w:tcW w:type="dxa" w:w="9648"/>
            <w:shd w:val="clear" w:fill="F2F4F5"/>
          </w:tcPr>
          <w:p>
            <w:pPr>
              <w:spacing w:after="0" w:line="240" w:lineRule="auto"/>
            </w:pPr>
            <w:r/>
            <w:r>
              <w:rPr>
                <w:rFonts w:ascii="Consolas" w:hAnsi="Consolas"/>
                <w:color w:val="1A2025"/>
                <w:sz w:val="17"/>
              </w:rPr>
              <w:t>// frontend/src/api/cliente.ts</w:t>
            </w:r>
          </w:p>
          <w:p>
            <w:pPr>
              <w:spacing w:after="0" w:line="240" w:lineRule="auto"/>
            </w:pPr>
            <w:r>
              <w:rPr>
                <w:rFonts w:ascii="Consolas" w:hAnsi="Consolas"/>
                <w:color w:val="1A2025"/>
                <w:sz w:val="17"/>
              </w:rPr>
              <w:t>const BASE =</w:t>
            </w:r>
          </w:p>
          <w:p>
            <w:pPr>
              <w:spacing w:after="0" w:line="240" w:lineRule="auto"/>
            </w:pPr>
            <w:r>
              <w:rPr>
                <w:rFonts w:ascii="Consolas" w:hAnsi="Consolas"/>
                <w:color w:val="1A2025"/>
                <w:sz w:val="17"/>
              </w:rPr>
              <w:t xml:space="preserve">  (import.meta.env.VITE_API_BASE_URL as string | undefined) ??</w:t>
            </w:r>
          </w:p>
          <w:p>
            <w:pPr>
              <w:spacing w:after="0" w:line="240" w:lineRule="auto"/>
            </w:pPr>
            <w:r>
              <w:rPr>
                <w:rFonts w:ascii="Consolas" w:hAnsi="Consolas"/>
                <w:color w:val="1A2025"/>
                <w:sz w:val="17"/>
              </w:rPr>
              <w:t xml:space="preserve">  'http://localhost:8000/api'</w:t>
            </w:r>
          </w:p>
        </w:tc>
      </w:tr>
    </w:tbl>
    <w:p>
      <w:pPr>
        <w:spacing w:after="40"/>
      </w:pPr>
    </w:p>
    <w:tbl>
      <w:tblPr>
        <w:tblW w:type="auto" w:w="0"/>
        <w:tblLook w:firstColumn="1" w:firstRow="1" w:lastColumn="0" w:lastRow="0" w:noHBand="0" w:noVBand="1" w:val="04A0"/>
      </w:tblPr>
      <w:tblGrid>
        <w:gridCol w:w="9648"/>
      </w:tblGrid>
      <w:tr>
        <w:tc>
          <w:tcPr>
            <w:tcW w:type="dxa" w:w="9648"/>
            <w:shd w:val="clear" w:fill="EAF3F1"/>
          </w:tcPr>
          <w:p>
            <w:r/>
            <w:r>
              <w:rPr>
                <w:color w:val="1A2025"/>
                <w:sz w:val="19"/>
              </w:rPr>
              <w:t>Detalle que conviene saber: Vite incrusta esa variable AL COMPILAR, no al arrancar. Si se agrega o se cambia en Railway, hay que volver a construir el frontend; reiniciar el servicio no alcanza. Fue una de las tres trampas que costaron una vuelta durante el despliegue.</w:t>
            </w:r>
          </w:p>
        </w:tc>
      </w:tr>
    </w:tbl>
    <w:p>
      <w:pPr>
        <w:spacing w:after="40"/>
      </w:pPr>
    </w:p>
    <w:p>
      <w:pPr>
        <w:pStyle w:val="Heading2"/>
      </w:pPr>
      <w:r>
        <w:t>3.2 Una sola puerta de salida</w:t>
      </w:r>
    </w:p>
    <w:p>
      <w:r>
        <w:t>Toda petición al backend pasa por una única función, pedir(), en frontend/src/api/cliente.ts. No es un capricho de orden: concentra en un solo lugar tres cosas que, repartidas por cada pantalla, se olvidan en alguna.</w:t>
      </w:r>
    </w:p>
    <w:p>
      <w:pPr>
        <w:pStyle w:val="ListNumber"/>
      </w:pPr>
      <w:r>
        <w:t>el encabezado Authorization con el token vigente,</w:t>
      </w:r>
    </w:p>
    <w:p>
      <w:pPr>
        <w:pStyle w:val="ListNumber"/>
      </w:pPr>
      <w:r>
        <w:t>el encabezado X-Organization, que resuelve el inquilino,</w:t>
      </w:r>
    </w:p>
    <w:p>
      <w:pPr>
        <w:pStyle w:val="ListNumber"/>
      </w:pPr>
      <w:r>
        <w:t>la traducción de la respuesta de error a un ErrorApi con código.</w:t>
      </w:r>
    </w:p>
    <w:p>
      <w:r>
        <w:t>La aplicación móvil tiene exactamente la misma estructura en su clase ApiClient (mobile/lib/core/api/client.dart). Los dos clientes se escribieron a propósito con la misma forma.</w:t>
      </w:r>
    </w:p>
    <w:p>
      <w:pPr>
        <w:pStyle w:val="Heading2"/>
      </w:pPr>
      <w:r>
        <w:t>3.3 Los cuatro encabezados</w:t>
      </w:r>
    </w:p>
    <w:tbl>
      <w:tblPr>
        <w:tblStyle w:val="TableGrid"/>
        <w:tblW w:type="auto" w:w="0"/>
        <w:jc w:val="center"/>
        <w:tblLook w:firstColumn="1" w:firstRow="1" w:lastColumn="0" w:lastRow="0" w:noHBand="0" w:noVBand="1" w:val="04A0"/>
      </w:tblPr>
      <w:tblGrid>
        <w:gridCol w:w="3216"/>
        <w:gridCol w:w="3216"/>
        <w:gridCol w:w="3216"/>
      </w:tblGrid>
      <w:tr>
        <w:tc>
          <w:tcPr>
            <w:tcW w:type="dxa" w:w="2880"/>
            <w:shd w:val="clear" w:fill="1F6F66"/>
          </w:tcPr>
          <w:p>
            <w:r/>
            <w:r>
              <w:rPr>
                <w:b/>
                <w:color w:val="FFFFFF"/>
                <w:sz w:val="18"/>
              </w:rPr>
              <w:t>Encabezado</w:t>
            </w:r>
          </w:p>
        </w:tc>
        <w:tc>
          <w:tcPr>
            <w:tcW w:type="dxa" w:w="3168"/>
            <w:shd w:val="clear" w:fill="1F6F66"/>
          </w:tcPr>
          <w:p>
            <w:r/>
            <w:r>
              <w:rPr>
                <w:b/>
                <w:color w:val="FFFFFF"/>
                <w:sz w:val="18"/>
              </w:rPr>
              <w:t>Cuándo se manda</w:t>
            </w:r>
          </w:p>
        </w:tc>
        <w:tc>
          <w:tcPr>
            <w:tcW w:type="dxa" w:w="3456"/>
            <w:shd w:val="clear" w:fill="1F6F66"/>
          </w:tcPr>
          <w:p>
            <w:r/>
            <w:r>
              <w:rPr>
                <w:b/>
                <w:color w:val="FFFFFF"/>
                <w:sz w:val="18"/>
              </w:rPr>
              <w:t>Para qué</w:t>
            </w:r>
          </w:p>
        </w:tc>
      </w:tr>
      <w:tr>
        <w:tc>
          <w:tcPr>
            <w:tcW w:type="dxa" w:w="2880"/>
          </w:tcPr>
          <w:p>
            <w:pPr>
              <w:spacing w:after="40"/>
            </w:pPr>
            <w:r/>
            <w:r>
              <w:rPr>
                <w:sz w:val="17"/>
              </w:rPr>
              <w:t>Accept: application/json</w:t>
            </w:r>
          </w:p>
        </w:tc>
        <w:tc>
          <w:tcPr>
            <w:tcW w:type="dxa" w:w="3168"/>
          </w:tcPr>
          <w:p>
            <w:pPr>
              <w:spacing w:after="40"/>
            </w:pPr>
            <w:r/>
            <w:r>
              <w:rPr>
                <w:sz w:val="17"/>
              </w:rPr>
              <w:t>Siempre</w:t>
            </w:r>
          </w:p>
        </w:tc>
        <w:tc>
          <w:tcPr>
            <w:tcW w:type="dxa" w:w="3456"/>
          </w:tcPr>
          <w:p>
            <w:pPr>
              <w:spacing w:after="40"/>
            </w:pPr>
            <w:r/>
            <w:r>
              <w:rPr>
                <w:sz w:val="17"/>
              </w:rPr>
              <w:t>Pedirle JSON al backend</w:t>
            </w:r>
          </w:p>
        </w:tc>
      </w:tr>
      <w:tr>
        <w:tc>
          <w:tcPr>
            <w:tcW w:type="dxa" w:w="2880"/>
            <w:shd w:val="clear" w:fill="F7F9F9"/>
          </w:tcPr>
          <w:p>
            <w:pPr>
              <w:spacing w:after="40"/>
            </w:pPr>
            <w:r/>
            <w:r>
              <w:rPr>
                <w:sz w:val="17"/>
              </w:rPr>
              <w:t>Content-Type: application/json</w:t>
            </w:r>
          </w:p>
        </w:tc>
        <w:tc>
          <w:tcPr>
            <w:tcW w:type="dxa" w:w="3168"/>
            <w:shd w:val="clear" w:fill="F7F9F9"/>
          </w:tcPr>
          <w:p>
            <w:pPr>
              <w:spacing w:after="40"/>
            </w:pPr>
            <w:r/>
            <w:r>
              <w:rPr>
                <w:sz w:val="17"/>
              </w:rPr>
              <w:t>Sólo si la petición lleva cuerpo</w:t>
            </w:r>
          </w:p>
        </w:tc>
        <w:tc>
          <w:tcPr>
            <w:tcW w:type="dxa" w:w="3456"/>
            <w:shd w:val="clear" w:fill="F7F9F9"/>
          </w:tcPr>
          <w:p>
            <w:pPr>
              <w:spacing w:after="40"/>
            </w:pPr>
            <w:r/>
            <w:r>
              <w:rPr>
                <w:sz w:val="17"/>
              </w:rPr>
              <w:t>Declarar el formato del cuerpo</w:t>
            </w:r>
          </w:p>
        </w:tc>
      </w:tr>
      <w:tr>
        <w:tc>
          <w:tcPr>
            <w:tcW w:type="dxa" w:w="2880"/>
          </w:tcPr>
          <w:p>
            <w:pPr>
              <w:spacing w:after="40"/>
            </w:pPr>
            <w:r/>
            <w:r>
              <w:rPr>
                <w:sz w:val="17"/>
              </w:rPr>
              <w:t>Authorization: Bearer &lt;token&gt;</w:t>
            </w:r>
          </w:p>
        </w:tc>
        <w:tc>
          <w:tcPr>
            <w:tcW w:type="dxa" w:w="3168"/>
          </w:tcPr>
          <w:p>
            <w:pPr>
              <w:spacing w:after="40"/>
            </w:pPr>
            <w:r/>
            <w:r>
              <w:rPr>
                <w:sz w:val="17"/>
              </w:rPr>
              <w:t>Si hay sesión iniciada</w:t>
            </w:r>
          </w:p>
        </w:tc>
        <w:tc>
          <w:tcPr>
            <w:tcW w:type="dxa" w:w="3456"/>
          </w:tcPr>
          <w:p>
            <w:pPr>
              <w:spacing w:after="40"/>
            </w:pPr>
            <w:r/>
            <w:r>
              <w:rPr>
                <w:sz w:val="17"/>
              </w:rPr>
              <w:t>Acreditar quién hace la petición</w:t>
            </w:r>
          </w:p>
        </w:tc>
      </w:tr>
      <w:tr>
        <w:tc>
          <w:tcPr>
            <w:tcW w:type="dxa" w:w="2880"/>
            <w:shd w:val="clear" w:fill="F7F9F9"/>
          </w:tcPr>
          <w:p>
            <w:pPr>
              <w:spacing w:after="40"/>
            </w:pPr>
            <w:r/>
            <w:r>
              <w:rPr>
                <w:sz w:val="17"/>
              </w:rPr>
              <w:t>X-Organization: &lt;slug&gt;</w:t>
            </w:r>
          </w:p>
        </w:tc>
        <w:tc>
          <w:tcPr>
            <w:tcW w:type="dxa" w:w="3168"/>
            <w:shd w:val="clear" w:fill="F7F9F9"/>
          </w:tcPr>
          <w:p>
            <w:pPr>
              <w:spacing w:after="40"/>
            </w:pPr>
            <w:r/>
            <w:r>
              <w:rPr>
                <w:sz w:val="17"/>
              </w:rPr>
              <w:t>Si hay una organización elegida</w:t>
            </w:r>
          </w:p>
        </w:tc>
        <w:tc>
          <w:tcPr>
            <w:tcW w:type="dxa" w:w="3456"/>
            <w:shd w:val="clear" w:fill="F7F9F9"/>
          </w:tcPr>
          <w:p>
            <w:pPr>
              <w:spacing w:after="40"/>
            </w:pPr>
            <w:r/>
            <w:r>
              <w:rPr>
                <w:sz w:val="17"/>
              </w:rPr>
              <w:t>Decir a qué centro médico pertenece</w:t>
            </w:r>
          </w:p>
        </w:tc>
      </w:tr>
    </w:tbl>
    <w:p>
      <w:pPr>
        <w:spacing w:after="40"/>
      </w:pPr>
    </w:p>
    <w:p>
      <w:r>
        <w:t>Vale la pena poder explicar por qué X-Organization viaja también en peticiones que ya llevan token, cuando en teoría sobra: en las peticiones autenticadas el inquilino sale del claim del token, pero las que no lo están —ingresar, registrarse, recuperar la contraseña— lo necesitan sí o sí. Mandarlo siempre evita tener que acordarse de cuál es cuál.</w:t>
      </w:r>
    </w:p>
    <w:p>
      <w:pPr>
        <w:pStyle w:val="Heading2"/>
      </w:pPr>
      <w:r>
        <w:t>3.4 Autenticación con JWT</w:t>
      </w:r>
    </w:p>
    <w:p>
      <w:r>
        <w:t>El backend no usa cookies de sesión: la API es pura y no tiene SessionMiddleware. La autenticación es por JSON Web Tokens.</w:t>
      </w:r>
    </w:p>
    <w:tbl>
      <w:tblPr>
        <w:tblStyle w:val="TableGrid"/>
        <w:tblW w:type="auto" w:w="0"/>
        <w:jc w:val="center"/>
        <w:tblLook w:firstColumn="1" w:firstRow="1" w:lastColumn="0" w:lastRow="0" w:noHBand="0" w:noVBand="1" w:val="04A0"/>
      </w:tblPr>
      <w:tblGrid>
        <w:gridCol w:w="3216"/>
        <w:gridCol w:w="3216"/>
        <w:gridCol w:w="3216"/>
      </w:tblGrid>
      <w:tr>
        <w:tc>
          <w:tcPr>
            <w:tcW w:type="dxa" w:w="1872"/>
            <w:shd w:val="clear" w:fill="1F6F66"/>
          </w:tcPr>
          <w:p>
            <w:r/>
            <w:r>
              <w:rPr>
                <w:b/>
                <w:color w:val="FFFFFF"/>
                <w:sz w:val="18"/>
              </w:rPr>
              <w:t>Token</w:t>
            </w:r>
          </w:p>
        </w:tc>
        <w:tc>
          <w:tcPr>
            <w:tcW w:type="dxa" w:w="2016"/>
            <w:shd w:val="clear" w:fill="1F6F66"/>
          </w:tcPr>
          <w:p>
            <w:r/>
            <w:r>
              <w:rPr>
                <w:b/>
                <w:color w:val="FFFFFF"/>
                <w:sz w:val="18"/>
              </w:rPr>
              <w:t>Duración</w:t>
            </w:r>
          </w:p>
        </w:tc>
        <w:tc>
          <w:tcPr>
            <w:tcW w:type="dxa" w:w="5616"/>
            <w:shd w:val="clear" w:fill="1F6F66"/>
          </w:tcPr>
          <w:p>
            <w:r/>
            <w:r>
              <w:rPr>
                <w:b/>
                <w:color w:val="FFFFFF"/>
                <w:sz w:val="18"/>
              </w:rPr>
              <w:t>Qué hace</w:t>
            </w:r>
          </w:p>
        </w:tc>
      </w:tr>
      <w:tr>
        <w:tc>
          <w:tcPr>
            <w:tcW w:type="dxa" w:w="1872"/>
          </w:tcPr>
          <w:p>
            <w:pPr>
              <w:spacing w:after="40"/>
            </w:pPr>
            <w:r/>
            <w:r>
              <w:rPr>
                <w:sz w:val="17"/>
              </w:rPr>
              <w:t>access</w:t>
            </w:r>
          </w:p>
        </w:tc>
        <w:tc>
          <w:tcPr>
            <w:tcW w:type="dxa" w:w="2016"/>
          </w:tcPr>
          <w:p>
            <w:pPr>
              <w:spacing w:after="40"/>
            </w:pPr>
            <w:r/>
            <w:r>
              <w:rPr>
                <w:sz w:val="17"/>
              </w:rPr>
              <w:t>30 minutos</w:t>
            </w:r>
          </w:p>
        </w:tc>
        <w:tc>
          <w:tcPr>
            <w:tcW w:type="dxa" w:w="5616"/>
          </w:tcPr>
          <w:p>
            <w:pPr>
              <w:spacing w:after="40"/>
            </w:pPr>
            <w:r/>
            <w:r>
              <w:rPr>
                <w:sz w:val="17"/>
              </w:rPr>
              <w:t>Viaja en cada petición dentro de Authorization</w:t>
            </w:r>
          </w:p>
        </w:tc>
      </w:tr>
      <w:tr>
        <w:tc>
          <w:tcPr>
            <w:tcW w:type="dxa" w:w="1872"/>
            <w:shd w:val="clear" w:fill="F7F9F9"/>
          </w:tcPr>
          <w:p>
            <w:pPr>
              <w:spacing w:after="40"/>
            </w:pPr>
            <w:r/>
            <w:r>
              <w:rPr>
                <w:sz w:val="17"/>
              </w:rPr>
              <w:t>refresh</w:t>
            </w:r>
          </w:p>
        </w:tc>
        <w:tc>
          <w:tcPr>
            <w:tcW w:type="dxa" w:w="2016"/>
            <w:shd w:val="clear" w:fill="F7F9F9"/>
          </w:tcPr>
          <w:p>
            <w:pPr>
              <w:spacing w:after="40"/>
            </w:pPr>
            <w:r/>
            <w:r>
              <w:rPr>
                <w:sz w:val="17"/>
              </w:rPr>
              <w:t>7 días</w:t>
            </w:r>
          </w:p>
        </w:tc>
        <w:tc>
          <w:tcPr>
            <w:tcW w:type="dxa" w:w="5616"/>
            <w:shd w:val="clear" w:fill="F7F9F9"/>
          </w:tcPr>
          <w:p>
            <w:pPr>
              <w:spacing w:after="40"/>
            </w:pPr>
            <w:r/>
            <w:r>
              <w:rPr>
                <w:sz w:val="17"/>
              </w:rPr>
              <w:t>Sirve para pedir un access nuevo sin volver a loguearse</w:t>
            </w:r>
          </w:p>
        </w:tc>
      </w:tr>
    </w:tbl>
    <w:p>
      <w:pPr>
        <w:spacing w:after="40"/>
      </w:pPr>
    </w:p>
    <w:p>
      <w:r>
        <w:t>Hay dos ajustes que conviene mencionar porque son una respuesta directa a cualquier pregunta sobre seguridad de la sesión: ROTATE_REFRESH_TOKENS y BLACKLIST_AFTER_ROTATION, ambos activados en config/settings.py. Cada vez que se usa un refresco se emite uno nuevo y el anterior queda en lista negra, así que un refresco robado sirve una sola vez y su uso delata al ladrón.</w:t>
      </w:r>
    </w:p>
    <w:p>
      <w:r>
        <w:t>El token no es sólo una credencial: lleva adentro los claims organization_id e is_platform_admin, y de ahí sale el contexto de aislamiento. Un token sin esos claims no puede autenticar, porque la búsqueda del usuario devuelve cero filas por Row Level Security.</w:t>
      </w:r>
    </w:p>
    <w:p>
      <w:pPr>
        <w:pStyle w:val="Heading2"/>
      </w:pPr>
      <w:r>
        <w:t>3.5 Dónde viven los tokens en la web, y qué cuesta</w:t>
      </w:r>
    </w:p>
    <w:p>
      <w:r>
        <w:t>En localStorage, bajo la clave centro-medico.sesion (frontend/src/sesion/almacenamiento.ts). Es lo que permite que recargar la pestaña no te eche.</w:t>
      </w:r>
    </w:p>
    <w:tbl>
      <w:tblPr>
        <w:tblW w:type="auto" w:w="0"/>
        <w:tblLook w:firstColumn="1" w:firstRow="1" w:lastColumn="0" w:lastRow="0" w:noHBand="0" w:noVBand="1" w:val="04A0"/>
      </w:tblPr>
      <w:tblGrid>
        <w:gridCol w:w="9648"/>
      </w:tblGrid>
      <w:tr>
        <w:tc>
          <w:tcPr>
            <w:tcW w:type="dxa" w:w="9648"/>
            <w:shd w:val="clear" w:fill="EAF3F1"/>
          </w:tcPr>
          <w:p>
            <w:r/>
            <w:r>
              <w:rPr>
                <w:color w:val="1A2025"/>
                <w:sz w:val="19"/>
              </w:rPr>
              <w:t>El costo es real y el repositorio lo documenta en vez de esconderlo: localStorage es legible por cualquier JavaScript de la página, así que un XSS se lleva la sesión. La alternativa —cookie HttpOnly con SameSite— es más segura pero exige que el backend emita y lea cookies, que hoy no hace. La mitigación mientras tanto es la ventana corta: el acceso dura 30 minutos y el refresco rota en cada uso. Queda anotado en docs/frontend/decisiones.md.</w:t>
            </w:r>
          </w:p>
        </w:tc>
      </w:tr>
    </w:tbl>
    <w:p>
      <w:pPr>
        <w:spacing w:after="40"/>
      </w:pPr>
    </w:p>
    <w:p>
      <w:r>
        <w:t>Todos los accesos van envueltos en try/catch: en modo incógnito o con las cookies bloqueadas, localStorage lanza una excepción en vez de devolver null, y eso dejaría la aplicación en blanco.</w:t>
      </w:r>
    </w:p>
    <w:p>
      <w:pPr>
        <w:pStyle w:val="Heading2"/>
      </w:pPr>
      <w:r>
        <w:t>3.6 La renovación del token</w:t>
      </w:r>
    </w:p>
    <w:p>
      <w:r>
        <w:t>La web renueva con un temporizador, a los 25 minutos de los 30 que dura el acceso (frontend/src/sesion/ContextoSesion.tsx). Los cinco minutos de margen no son decorativos: si el reloj del navegador está corrido unos minutos respecto del servidor —pasa más de lo que uno cree—, renovar justo sobre la hora produce un 401 intermitente imposible de reproducir.</w:t>
      </w:r>
    </w:p>
    <w:tbl>
      <w:tblPr>
        <w:tblW w:type="auto" w:w="0"/>
        <w:tblLook w:firstColumn="1" w:firstRow="1" w:lastColumn="0" w:lastRow="0" w:noHBand="0" w:noVBand="1" w:val="04A0"/>
      </w:tblPr>
      <w:tblGrid>
        <w:gridCol w:w="9648"/>
      </w:tblGrid>
      <w:tr>
        <w:tc>
          <w:tcPr>
            <w:tcW w:type="dxa" w:w="9648"/>
            <w:shd w:val="clear" w:fill="EAF3F1"/>
          </w:tcPr>
          <w:p>
            <w:r/>
            <w:r>
              <w:rPr>
                <w:color w:val="1A2025"/>
                <w:sz w:val="19"/>
              </w:rPr>
              <w:t>La aplicación móvil resuelve esto distinto A PROPÓSITO, y es una buena pregunta para responder bien: el móvil no usa temporizador, renueva por demanda antes de cada petición. Un temporizador no sobrevive a que el sistema operativo suspenda la aplicación —lo que pasa apenas se guarda el teléfono en el bolsillo— y al volver la primera petición falla igual. En un navegador esa suspensión no existe, así que el temporizador alcanza.</w:t>
            </w:r>
          </w:p>
        </w:tc>
      </w:tr>
    </w:tbl>
    <w:p>
      <w:pPr>
        <w:spacing w:after="40"/>
      </w:pPr>
    </w:p>
    <w:p>
      <w:pPr>
        <w:pStyle w:val="Heading2"/>
      </w:pPr>
      <w:r>
        <w:t>3.7 Cómo se manejan los errores</w:t>
      </w:r>
    </w:p>
    <w:p>
      <w:r>
        <w:t>El backend responde los errores siempre con la misma forma:</w:t>
      </w:r>
    </w:p>
    <w:tbl>
      <w:tblPr>
        <w:tblW w:type="auto" w:w="0"/>
        <w:jc w:val="center"/>
        <w:tblLook w:firstColumn="1" w:firstRow="1" w:lastColumn="0" w:lastRow="0" w:noHBand="0" w:noVBand="1" w:val="04A0"/>
      </w:tblPr>
      <w:tblGrid>
        <w:gridCol w:w="9648"/>
      </w:tblGrid>
      <w:tr>
        <w:tc>
          <w:tcPr>
            <w:tcW w:type="dxa" w:w="9648"/>
            <w:shd w:val="clear" w:fill="F2F4F5"/>
          </w:tcPr>
          <w:p>
            <w:pPr>
              <w:spacing w:after="0" w:line="240" w:lineRule="auto"/>
            </w:pPr>
            <w:r/>
            <w:r>
              <w:rPr>
                <w:rFonts w:ascii="Consolas" w:hAnsi="Consolas"/>
                <w:color w:val="1A2025"/>
                <w:sz w:val="17"/>
              </w:rPr>
              <w:t>{ "code": "credenciales_invalidas",</w:t>
            </w:r>
          </w:p>
          <w:p>
            <w:pPr>
              <w:spacing w:after="0" w:line="240" w:lineRule="auto"/>
            </w:pPr>
            <w:r>
              <w:rPr>
                <w:rFonts w:ascii="Consolas" w:hAnsi="Consolas"/>
                <w:color w:val="1A2025"/>
                <w:sz w:val="17"/>
              </w:rPr>
              <w:t xml:space="preserve">  "detail": "El correo o la contraseña no son correctos." }</w:t>
            </w:r>
          </w:p>
          <w:p>
            <w:pPr>
              <w:spacing w:after="0" w:line="240" w:lineRule="auto"/>
            </w:pPr>
            <w:r>
              <w:rPr>
                <w:rFonts w:ascii="Consolas" w:hAnsi="Consolas"/>
                <w:color w:val="1A2025"/>
                <w:sz w:val="17"/>
              </w:rPr>
            </w:r>
          </w:p>
          <w:p>
            <w:pPr>
              <w:spacing w:after="0" w:line="240" w:lineRule="auto"/>
            </w:pPr>
            <w:r>
              <w:rPr>
                <w:rFonts w:ascii="Consolas" w:hAnsi="Consolas"/>
                <w:color w:val="1A2025"/>
                <w:sz w:val="17"/>
              </w:rPr>
              <w:t>// y en errores de validación de formulario, por campo:</w:t>
            </w:r>
          </w:p>
          <w:p>
            <w:pPr>
              <w:spacing w:after="0" w:line="240" w:lineRule="auto"/>
            </w:pPr>
            <w:r>
              <w:rPr>
                <w:rFonts w:ascii="Consolas" w:hAnsi="Consolas"/>
                <w:color w:val="1A2025"/>
                <w:sz w:val="17"/>
              </w:rPr>
              <w:t>{ "organization": ["El centro médico no existe o no está activo."] }</w:t>
            </w:r>
          </w:p>
        </w:tc>
      </w:tr>
    </w:tbl>
    <w:p>
      <w:pPr>
        <w:spacing w:after="40"/>
      </w:pPr>
    </w:p>
    <w:p>
      <w:r>
        <w:t>El cliente traduce eso a un ErrorApi con código y mensaje. Se decide por el código y no por el texto, porque el código es el contrato y el texto puede cambiar. Con eso la pantalla puede, por ejemplo, pintar el error debajo del campo que lo causó en lugar de en un cartel general.</w:t>
      </w:r>
    </w:p>
    <w:p>
      <w:r>
        <w:t>Un error de red es una categoría distinta y se trata aparte: ahí no llega ninguna respuesta. fetch sólo rechaza si la petición no llegó a salir —servidor caído, DNS, CORS—; un 500 del backend no pasa por ese camino, llega como respuesta normal. Esa distinción es la que permite decir 'no se pudo conectar' en vez de 'algo falló'.</w:t>
      </w:r>
    </w:p>
    <w:p>
      <w:pPr>
        <w:pStyle w:val="Heading1"/>
      </w:pPr>
      <w:r>
        <w:t>4. El aislamiento entre centros médicos</w:t>
      </w:r>
    </w:p>
    <w:p>
      <w:r>
        <w:t>Es la parte más defendible del proyecto y conviene no pasarla rápido. El sistema es multi-inquilino: varios centros médicos comparten la misma base de datos, y ninguno puede ver nada del otro. El aislamiento no se implementó en el código de las vistas —donde un olvido lo rompe— sino en la base de datos, con Row Level Security de PostgreSQL.</w:t>
      </w:r>
    </w:p>
    <w:tbl>
      <w:tblPr>
        <w:tblStyle w:val="TableGrid"/>
        <w:tblW w:type="auto" w:w="0"/>
        <w:jc w:val="center"/>
        <w:tblLook w:firstColumn="1" w:firstRow="1" w:lastColumn="0" w:lastRow="0" w:noHBand="0" w:noVBand="1" w:val="04A0"/>
      </w:tblPr>
      <w:tblGrid>
        <w:gridCol w:w="4824"/>
        <w:gridCol w:w="4824"/>
      </w:tblGrid>
      <w:tr>
        <w:tc>
          <w:tcPr>
            <w:tcW w:type="dxa" w:w="4464"/>
            <w:shd w:val="clear" w:fill="1F6F66"/>
          </w:tcPr>
          <w:p>
            <w:r/>
            <w:r>
              <w:rPr>
                <w:b/>
                <w:color w:val="FFFFFF"/>
                <w:sz w:val="18"/>
              </w:rPr>
              <w:t>Regla</w:t>
            </w:r>
          </w:p>
        </w:tc>
        <w:tc>
          <w:tcPr>
            <w:tcW w:type="dxa" w:w="5040"/>
            <w:shd w:val="clear" w:fill="1F6F66"/>
          </w:tcPr>
          <w:p>
            <w:r/>
            <w:r>
              <w:rPr>
                <w:b/>
                <w:color w:val="FFFFFF"/>
                <w:sz w:val="18"/>
              </w:rPr>
              <w:t>Por qué existe</w:t>
            </w:r>
          </w:p>
        </w:tc>
      </w:tr>
      <w:tr>
        <w:tc>
          <w:tcPr>
            <w:tcW w:type="dxa" w:w="4464"/>
          </w:tcPr>
          <w:p>
            <w:pPr>
              <w:spacing w:after="40"/>
            </w:pPr>
            <w:r/>
            <w:r>
              <w:rPr>
                <w:sz w:val="17"/>
              </w:rPr>
              <w:t>La autorización se pide con user.has_permission("modulo.recurso.accion"), nunca con user.has_perm()</w:t>
            </w:r>
          </w:p>
        </w:tc>
        <w:tc>
          <w:tcPr>
            <w:tcW w:type="dxa" w:w="5040"/>
          </w:tcPr>
          <w:p>
            <w:pPr>
              <w:spacing w:after="40"/>
            </w:pPr>
            <w:r/>
            <w:r>
              <w:rPr>
                <w:sz w:val="17"/>
              </w:rPr>
              <w:t>Las tablas de django.contrib.auth no están aisladas por organización</w:t>
            </w:r>
          </w:p>
        </w:tc>
      </w:tr>
      <w:tr>
        <w:tc>
          <w:tcPr>
            <w:tcW w:type="dxa" w:w="4464"/>
            <w:shd w:val="clear" w:fill="F7F9F9"/>
          </w:tcPr>
          <w:p>
            <w:pPr>
              <w:spacing w:after="40"/>
            </w:pPr>
            <w:r/>
            <w:r>
              <w:rPr>
                <w:sz w:val="17"/>
              </w:rPr>
              <w:t>Los tokens se emiten siempre con accounts.tokens.tokens_for_user()</w:t>
            </w:r>
          </w:p>
        </w:tc>
        <w:tc>
          <w:tcPr>
            <w:tcW w:type="dxa" w:w="5040"/>
            <w:shd w:val="clear" w:fill="F7F9F9"/>
          </w:tcPr>
          <w:p>
            <w:pPr>
              <w:spacing w:after="40"/>
            </w:pPr>
            <w:r/>
            <w:r>
              <w:rPr>
                <w:sz w:val="17"/>
              </w:rPr>
              <w:t>Un token sin los claims organization_id / is_platform_admin no puede autenticar</w:t>
            </w:r>
          </w:p>
        </w:tc>
      </w:tr>
      <w:tr>
        <w:tc>
          <w:tcPr>
            <w:tcW w:type="dxa" w:w="4464"/>
          </w:tcPr>
          <w:p>
            <w:pPr>
              <w:spacing w:after="40"/>
            </w:pPr>
            <w:r/>
            <w:r>
              <w:rPr>
                <w:sz w:val="17"/>
              </w:rPr>
              <w:t>El contexto lo fija accounts/authentication.py, no un middleware</w:t>
            </w:r>
          </w:p>
        </w:tc>
        <w:tc>
          <w:tcPr>
            <w:tcW w:type="dxa" w:w="5040"/>
          </w:tcPr>
          <w:p>
            <w:pPr>
              <w:spacing w:after="40"/>
            </w:pPr>
            <w:r/>
            <w:r>
              <w:rPr>
                <w:sz w:val="17"/>
              </w:rPr>
              <w:t>Un middleware corre antes de la vista, y ahí request.user todavía es anónimo</w:t>
            </w:r>
          </w:p>
        </w:tc>
      </w:tr>
      <w:tr>
        <w:tc>
          <w:tcPr>
            <w:tcW w:type="dxa" w:w="4464"/>
            <w:shd w:val="clear" w:fill="F7F9F9"/>
          </w:tcPr>
          <w:p>
            <w:pPr>
              <w:spacing w:after="40"/>
            </w:pPr>
            <w:r/>
            <w:r>
              <w:rPr>
                <w:sz w:val="17"/>
              </w:rPr>
              <w:t>Fuera del ciclo HTTP hay que envolver con tenant_context(org.id)</w:t>
            </w:r>
          </w:p>
        </w:tc>
        <w:tc>
          <w:tcPr>
            <w:tcW w:type="dxa" w:w="5040"/>
            <w:shd w:val="clear" w:fill="F7F9F9"/>
          </w:tcPr>
          <w:p>
            <w:pPr>
              <w:spacing w:after="40"/>
            </w:pPr>
            <w:r/>
            <w:r>
              <w:rPr>
                <w:sz w:val="17"/>
              </w:rPr>
              <w:t>Sin contexto fijado, toda consulta protegida por RLS devuelve cero filas</w:t>
            </w:r>
          </w:p>
        </w:tc>
      </w:tr>
    </w:tbl>
    <w:p>
      <w:pPr>
        <w:spacing w:after="40"/>
      </w:pPr>
    </w:p>
    <w:p>
      <w:r>
        <w:t>El criterio 4 de la Definición de Terminado pedía comprobarlo en vivo: se registraron dos organizaciones en producción y se verificó que el administrador de una no ve absolutamente nada de la otra. Quedó cumplido el 25/08/2026.</w:t>
      </w:r>
    </w:p>
    <w:p>
      <w:r>
        <w:t>Los permisos no son una lista fija en el código. Cada organización recibe, al darse de alta, una copia de las plantillas de rol del sistema, y lo que el administrador edita es esa copia. Por eso las migraciones que agregan permisos nuevos recorren organización por organización para sumárselos también a las copias ya clonadas: una organización dada de alta antes de la migración no se enteraría sola.</w:t>
      </w:r>
    </w:p>
    <w:p>
      <w:pPr>
        <w:pStyle w:val="Heading1"/>
      </w:pPr>
      <w:r>
        <w:t>5. Qué está implementado en la web</w:t>
      </w:r>
    </w:p>
    <w:p>
      <w:r>
        <w:t>Veintiuna pantallas. La columna de permiso es la que decide si el enlace aparece en el menú y si la ruta deja entrar.</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736"/>
            <w:shd w:val="clear" w:fill="1F6F66"/>
          </w:tcPr>
          <w:p>
            <w:r/>
            <w:r>
              <w:rPr>
                <w:b/>
                <w:color w:val="FFFFFF"/>
                <w:sz w:val="18"/>
              </w:rPr>
              <w:t>Ruta</w:t>
            </w:r>
          </w:p>
        </w:tc>
        <w:tc>
          <w:tcPr>
            <w:tcW w:type="dxa" w:w="2880"/>
            <w:shd w:val="clear" w:fill="1F6F66"/>
          </w:tcPr>
          <w:p>
            <w:r/>
            <w:r>
              <w:rPr>
                <w:b/>
                <w:color w:val="FFFFFF"/>
                <w:sz w:val="18"/>
              </w:rPr>
              <w:t>Pantalla</w:t>
            </w:r>
          </w:p>
        </w:tc>
        <w:tc>
          <w:tcPr>
            <w:tcW w:type="dxa" w:w="1296"/>
            <w:shd w:val="clear" w:fill="1F6F66"/>
          </w:tcPr>
          <w:p>
            <w:r/>
            <w:r>
              <w:rPr>
                <w:b/>
                <w:color w:val="FFFFFF"/>
                <w:sz w:val="18"/>
              </w:rPr>
              <w:t>Historia</w:t>
            </w:r>
          </w:p>
        </w:tc>
        <w:tc>
          <w:tcPr>
            <w:tcW w:type="dxa" w:w="2592"/>
            <w:shd w:val="clear" w:fill="1F6F66"/>
          </w:tcPr>
          <w:p>
            <w:r/>
            <w:r>
              <w:rPr>
                <w:b/>
                <w:color w:val="FFFFFF"/>
                <w:sz w:val="18"/>
              </w:rPr>
              <w:t>Permiso</w:t>
            </w:r>
          </w:p>
        </w:tc>
      </w:tr>
      <w:tr>
        <w:tc>
          <w:tcPr>
            <w:tcW w:type="dxa" w:w="2736"/>
          </w:tcPr>
          <w:p>
            <w:pPr>
              <w:spacing w:after="40"/>
            </w:pPr>
            <w:r/>
            <w:r>
              <w:rPr>
                <w:sz w:val="17"/>
              </w:rPr>
              <w:t>/ingresar</w:t>
            </w:r>
          </w:p>
        </w:tc>
        <w:tc>
          <w:tcPr>
            <w:tcW w:type="dxa" w:w="2880"/>
          </w:tcPr>
          <w:p>
            <w:pPr>
              <w:spacing w:after="40"/>
            </w:pPr>
            <w:r/>
            <w:r>
              <w:rPr>
                <w:sz w:val="17"/>
              </w:rPr>
              <w:t>Inicio de sesión</w:t>
            </w:r>
          </w:p>
        </w:tc>
        <w:tc>
          <w:tcPr>
            <w:tcW w:type="dxa" w:w="1296"/>
          </w:tcPr>
          <w:p>
            <w:pPr>
              <w:spacing w:after="40"/>
            </w:pPr>
            <w:r/>
            <w:r>
              <w:rPr>
                <w:sz w:val="17"/>
              </w:rPr>
              <w:t>US-02</w:t>
            </w:r>
          </w:p>
        </w:tc>
        <w:tc>
          <w:tcPr>
            <w:tcW w:type="dxa" w:w="2592"/>
          </w:tcPr>
          <w:p>
            <w:pPr>
              <w:spacing w:after="40"/>
            </w:pPr>
            <w:r/>
            <w:r>
              <w:rPr>
                <w:sz w:val="17"/>
              </w:rPr>
              <w:t>— (pública)</w:t>
            </w:r>
          </w:p>
        </w:tc>
      </w:tr>
      <w:tr>
        <w:tc>
          <w:tcPr>
            <w:tcW w:type="dxa" w:w="2736"/>
            <w:shd w:val="clear" w:fill="F7F9F9"/>
          </w:tcPr>
          <w:p>
            <w:pPr>
              <w:spacing w:after="40"/>
            </w:pPr>
            <w:r/>
            <w:r>
              <w:rPr>
                <w:sz w:val="17"/>
              </w:rPr>
              <w:t>/registro</w:t>
            </w:r>
          </w:p>
        </w:tc>
        <w:tc>
          <w:tcPr>
            <w:tcW w:type="dxa" w:w="2880"/>
            <w:shd w:val="clear" w:fill="F7F9F9"/>
          </w:tcPr>
          <w:p>
            <w:pPr>
              <w:spacing w:after="40"/>
            </w:pPr>
            <w:r/>
            <w:r>
              <w:rPr>
                <w:sz w:val="17"/>
              </w:rPr>
              <w:t>Registro de paciente</w:t>
            </w:r>
          </w:p>
        </w:tc>
        <w:tc>
          <w:tcPr>
            <w:tcW w:type="dxa" w:w="1296"/>
            <w:shd w:val="clear" w:fill="F7F9F9"/>
          </w:tcPr>
          <w:p>
            <w:pPr>
              <w:spacing w:after="40"/>
            </w:pPr>
            <w:r/>
            <w:r>
              <w:rPr>
                <w:sz w:val="17"/>
              </w:rPr>
              <w:t>US-01</w:t>
            </w:r>
          </w:p>
        </w:tc>
        <w:tc>
          <w:tcPr>
            <w:tcW w:type="dxa" w:w="2592"/>
            <w:shd w:val="clear" w:fill="F7F9F9"/>
          </w:tcPr>
          <w:p>
            <w:pPr>
              <w:spacing w:after="40"/>
            </w:pPr>
            <w:r/>
            <w:r>
              <w:rPr>
                <w:sz w:val="17"/>
              </w:rPr>
              <w:t>— (pública)</w:t>
            </w:r>
          </w:p>
        </w:tc>
      </w:tr>
      <w:tr>
        <w:tc>
          <w:tcPr>
            <w:tcW w:type="dxa" w:w="2736"/>
          </w:tcPr>
          <w:p>
            <w:pPr>
              <w:spacing w:after="40"/>
            </w:pPr>
            <w:r/>
            <w:r>
              <w:rPr>
                <w:sz w:val="17"/>
              </w:rPr>
              <w:t>/recuperar · /restablecer</w:t>
            </w:r>
          </w:p>
        </w:tc>
        <w:tc>
          <w:tcPr>
            <w:tcW w:type="dxa" w:w="2880"/>
          </w:tcPr>
          <w:p>
            <w:pPr>
              <w:spacing w:after="40"/>
            </w:pPr>
            <w:r/>
            <w:r>
              <w:rPr>
                <w:sz w:val="17"/>
              </w:rPr>
              <w:t>Recuperación de contraseña</w:t>
            </w:r>
          </w:p>
        </w:tc>
        <w:tc>
          <w:tcPr>
            <w:tcW w:type="dxa" w:w="1296"/>
          </w:tcPr>
          <w:p>
            <w:pPr>
              <w:spacing w:after="40"/>
            </w:pPr>
            <w:r/>
            <w:r>
              <w:rPr>
                <w:sz w:val="17"/>
              </w:rPr>
              <w:t>US-03</w:t>
            </w:r>
          </w:p>
        </w:tc>
        <w:tc>
          <w:tcPr>
            <w:tcW w:type="dxa" w:w="2592"/>
          </w:tcPr>
          <w:p>
            <w:pPr>
              <w:spacing w:after="40"/>
            </w:pPr>
            <w:r/>
            <w:r>
              <w:rPr>
                <w:sz w:val="17"/>
              </w:rPr>
              <w:t>— (pública)</w:t>
            </w:r>
          </w:p>
        </w:tc>
      </w:tr>
      <w:tr>
        <w:tc>
          <w:tcPr>
            <w:tcW w:type="dxa" w:w="2736"/>
            <w:shd w:val="clear" w:fill="F7F9F9"/>
          </w:tcPr>
          <w:p>
            <w:pPr>
              <w:spacing w:after="40"/>
            </w:pPr>
            <w:r/>
            <w:r>
              <w:rPr>
                <w:sz w:val="17"/>
              </w:rPr>
              <w:t>/panel</w:t>
            </w:r>
          </w:p>
        </w:tc>
        <w:tc>
          <w:tcPr>
            <w:tcW w:type="dxa" w:w="2880"/>
            <w:shd w:val="clear" w:fill="F7F9F9"/>
          </w:tcPr>
          <w:p>
            <w:pPr>
              <w:spacing w:after="40"/>
            </w:pPr>
            <w:r/>
            <w:r>
              <w:rPr>
                <w:sz w:val="17"/>
              </w:rPr>
              <w:t>Tablero de métricas</w:t>
            </w:r>
          </w:p>
        </w:tc>
        <w:tc>
          <w:tcPr>
            <w:tcW w:type="dxa" w:w="1296"/>
            <w:shd w:val="clear" w:fill="F7F9F9"/>
          </w:tcPr>
          <w:p>
            <w:pPr>
              <w:spacing w:after="40"/>
            </w:pPr>
            <w:r/>
            <w:r>
              <w:rPr>
                <w:sz w:val="17"/>
              </w:rPr>
              <w:t>GES-45</w:t>
            </w:r>
          </w:p>
        </w:tc>
        <w:tc>
          <w:tcPr>
            <w:tcW w:type="dxa" w:w="2592"/>
            <w:shd w:val="clear" w:fill="F7F9F9"/>
          </w:tcPr>
          <w:p>
            <w:pPr>
              <w:spacing w:after="40"/>
            </w:pPr>
            <w:r/>
            <w:r>
              <w:rPr>
                <w:sz w:val="17"/>
              </w:rPr>
              <w:t>platform.metric.read</w:t>
            </w:r>
          </w:p>
        </w:tc>
      </w:tr>
      <w:tr>
        <w:tc>
          <w:tcPr>
            <w:tcW w:type="dxa" w:w="2736"/>
          </w:tcPr>
          <w:p>
            <w:pPr>
              <w:spacing w:after="40"/>
            </w:pPr>
            <w:r/>
            <w:r>
              <w:rPr>
                <w:sz w:val="17"/>
              </w:rPr>
              <w:t>/organizaciones</w:t>
            </w:r>
          </w:p>
        </w:tc>
        <w:tc>
          <w:tcPr>
            <w:tcW w:type="dxa" w:w="2880"/>
          </w:tcPr>
          <w:p>
            <w:pPr>
              <w:spacing w:after="40"/>
            </w:pPr>
            <w:r/>
            <w:r>
              <w:rPr>
                <w:sz w:val="17"/>
              </w:rPr>
              <w:t>Organizaciones</w:t>
            </w:r>
          </w:p>
        </w:tc>
        <w:tc>
          <w:tcPr>
            <w:tcW w:type="dxa" w:w="1296"/>
          </w:tcPr>
          <w:p>
            <w:pPr>
              <w:spacing w:after="40"/>
            </w:pPr>
            <w:r/>
            <w:r>
              <w:rPr>
                <w:sz w:val="17"/>
              </w:rPr>
              <w:t>GES-43</w:t>
            </w:r>
          </w:p>
        </w:tc>
        <w:tc>
          <w:tcPr>
            <w:tcW w:type="dxa" w:w="2592"/>
          </w:tcPr>
          <w:p>
            <w:pPr>
              <w:spacing w:after="40"/>
            </w:pPr>
            <w:r/>
            <w:r>
              <w:rPr>
                <w:sz w:val="17"/>
              </w:rPr>
              <w:t>platform.organization.read</w:t>
            </w:r>
          </w:p>
        </w:tc>
      </w:tr>
      <w:tr>
        <w:tc>
          <w:tcPr>
            <w:tcW w:type="dxa" w:w="2736"/>
            <w:shd w:val="clear" w:fill="F7F9F9"/>
          </w:tcPr>
          <w:p>
            <w:pPr>
              <w:spacing w:after="40"/>
            </w:pPr>
            <w:r/>
            <w:r>
              <w:rPr>
                <w:sz w:val="17"/>
              </w:rPr>
              <w:t>/organizaciones/nueva</w:t>
            </w:r>
          </w:p>
        </w:tc>
        <w:tc>
          <w:tcPr>
            <w:tcW w:type="dxa" w:w="2880"/>
            <w:shd w:val="clear" w:fill="F7F9F9"/>
          </w:tcPr>
          <w:p>
            <w:pPr>
              <w:spacing w:after="40"/>
            </w:pPr>
            <w:r/>
            <w:r>
              <w:rPr>
                <w:sz w:val="17"/>
              </w:rPr>
              <w:t>Alta de organización</w:t>
            </w:r>
          </w:p>
        </w:tc>
        <w:tc>
          <w:tcPr>
            <w:tcW w:type="dxa" w:w="1296"/>
            <w:shd w:val="clear" w:fill="F7F9F9"/>
          </w:tcPr>
          <w:p>
            <w:pPr>
              <w:spacing w:after="40"/>
            </w:pPr>
            <w:r/>
            <w:r>
              <w:rPr>
                <w:sz w:val="17"/>
              </w:rPr>
              <w:t>GES-43</w:t>
            </w:r>
          </w:p>
        </w:tc>
        <w:tc>
          <w:tcPr>
            <w:tcW w:type="dxa" w:w="2592"/>
            <w:shd w:val="clear" w:fill="F7F9F9"/>
          </w:tcPr>
          <w:p>
            <w:pPr>
              <w:spacing w:after="40"/>
            </w:pPr>
            <w:r/>
            <w:r>
              <w:rPr>
                <w:sz w:val="17"/>
              </w:rPr>
              <w:t>platform.organization.create</w:t>
            </w:r>
          </w:p>
        </w:tc>
      </w:tr>
      <w:tr>
        <w:tc>
          <w:tcPr>
            <w:tcW w:type="dxa" w:w="2736"/>
          </w:tcPr>
          <w:p>
            <w:pPr>
              <w:spacing w:after="40"/>
            </w:pPr>
            <w:r/>
            <w:r>
              <w:rPr>
                <w:sz w:val="17"/>
              </w:rPr>
              <w:t>/planes</w:t>
            </w:r>
          </w:p>
        </w:tc>
        <w:tc>
          <w:tcPr>
            <w:tcW w:type="dxa" w:w="2880"/>
          </w:tcPr>
          <w:p>
            <w:pPr>
              <w:spacing w:after="40"/>
            </w:pPr>
            <w:r/>
            <w:r>
              <w:rPr>
                <w:sz w:val="17"/>
              </w:rPr>
              <w:t>Planes de suscripción</w:t>
            </w:r>
          </w:p>
        </w:tc>
        <w:tc>
          <w:tcPr>
            <w:tcW w:type="dxa" w:w="1296"/>
          </w:tcPr>
          <w:p>
            <w:pPr>
              <w:spacing w:after="40"/>
            </w:pPr>
            <w:r/>
            <w:r>
              <w:rPr>
                <w:sz w:val="17"/>
              </w:rPr>
              <w:t>GES-44</w:t>
            </w:r>
          </w:p>
        </w:tc>
        <w:tc>
          <w:tcPr>
            <w:tcW w:type="dxa" w:w="2592"/>
          </w:tcPr>
          <w:p>
            <w:pPr>
              <w:spacing w:after="40"/>
            </w:pPr>
            <w:r/>
            <w:r>
              <w:rPr>
                <w:sz w:val="17"/>
              </w:rPr>
              <w:t>platform.plan.create</w:t>
            </w:r>
          </w:p>
        </w:tc>
      </w:tr>
      <w:tr>
        <w:tc>
          <w:tcPr>
            <w:tcW w:type="dxa" w:w="2736"/>
            <w:shd w:val="clear" w:fill="F7F9F9"/>
          </w:tcPr>
          <w:p>
            <w:pPr>
              <w:spacing w:after="40"/>
            </w:pPr>
            <w:r/>
            <w:r>
              <w:rPr>
                <w:sz w:val="17"/>
              </w:rPr>
              <w:t>/suscripciones</w:t>
            </w:r>
          </w:p>
        </w:tc>
        <w:tc>
          <w:tcPr>
            <w:tcW w:type="dxa" w:w="2880"/>
            <w:shd w:val="clear" w:fill="F7F9F9"/>
          </w:tcPr>
          <w:p>
            <w:pPr>
              <w:spacing w:after="40"/>
            </w:pPr>
            <w:r/>
            <w:r>
              <w:rPr>
                <w:sz w:val="17"/>
              </w:rPr>
              <w:t>Suscripciones</w:t>
            </w:r>
          </w:p>
        </w:tc>
        <w:tc>
          <w:tcPr>
            <w:tcW w:type="dxa" w:w="1296"/>
            <w:shd w:val="clear" w:fill="F7F9F9"/>
          </w:tcPr>
          <w:p>
            <w:pPr>
              <w:spacing w:after="40"/>
            </w:pPr>
            <w:r/>
            <w:r>
              <w:rPr>
                <w:sz w:val="17"/>
              </w:rPr>
              <w:t>GES-44</w:t>
            </w:r>
          </w:p>
        </w:tc>
        <w:tc>
          <w:tcPr>
            <w:tcW w:type="dxa" w:w="2592"/>
            <w:shd w:val="clear" w:fill="F7F9F9"/>
          </w:tcPr>
          <w:p>
            <w:pPr>
              <w:spacing w:after="40"/>
            </w:pPr>
            <w:r/>
            <w:r>
              <w:rPr>
                <w:sz w:val="17"/>
              </w:rPr>
              <w:t>platform.plan.assign</w:t>
            </w:r>
          </w:p>
        </w:tc>
      </w:tr>
      <w:tr>
        <w:tc>
          <w:tcPr>
            <w:tcW w:type="dxa" w:w="2736"/>
          </w:tcPr>
          <w:p>
            <w:pPr>
              <w:spacing w:after="40"/>
            </w:pPr>
            <w:r/>
            <w:r>
              <w:rPr>
                <w:sz w:val="17"/>
              </w:rPr>
              <w:t>/suscripciones/:id/historial</w:t>
            </w:r>
          </w:p>
        </w:tc>
        <w:tc>
          <w:tcPr>
            <w:tcW w:type="dxa" w:w="2880"/>
          </w:tcPr>
          <w:p>
            <w:pPr>
              <w:spacing w:after="40"/>
            </w:pPr>
            <w:r/>
            <w:r>
              <w:rPr>
                <w:sz w:val="17"/>
              </w:rPr>
              <w:t>Historial de suscripción</w:t>
            </w:r>
          </w:p>
        </w:tc>
        <w:tc>
          <w:tcPr>
            <w:tcW w:type="dxa" w:w="1296"/>
          </w:tcPr>
          <w:p>
            <w:pPr>
              <w:spacing w:after="40"/>
            </w:pPr>
            <w:r/>
            <w:r>
              <w:rPr>
                <w:sz w:val="17"/>
              </w:rPr>
              <w:t>GES-44</w:t>
            </w:r>
          </w:p>
        </w:tc>
        <w:tc>
          <w:tcPr>
            <w:tcW w:type="dxa" w:w="2592"/>
          </w:tcPr>
          <w:p>
            <w:pPr>
              <w:spacing w:after="40"/>
            </w:pPr>
            <w:r/>
            <w:r>
              <w:rPr>
                <w:sz w:val="17"/>
              </w:rPr>
              <w:t>platform.plan.assign</w:t>
            </w:r>
          </w:p>
        </w:tc>
      </w:tr>
      <w:tr>
        <w:tc>
          <w:tcPr>
            <w:tcW w:type="dxa" w:w="2736"/>
            <w:shd w:val="clear" w:fill="F7F9F9"/>
          </w:tcPr>
          <w:p>
            <w:pPr>
              <w:spacing w:after="40"/>
            </w:pPr>
            <w:r/>
            <w:r>
              <w:rPr>
                <w:sz w:val="17"/>
              </w:rPr>
              <w:t>/roles</w:t>
            </w:r>
          </w:p>
        </w:tc>
        <w:tc>
          <w:tcPr>
            <w:tcW w:type="dxa" w:w="2880"/>
            <w:shd w:val="clear" w:fill="F7F9F9"/>
          </w:tcPr>
          <w:p>
            <w:pPr>
              <w:spacing w:after="40"/>
            </w:pPr>
            <w:r/>
            <w:r>
              <w:rPr>
                <w:sz w:val="17"/>
              </w:rPr>
              <w:t>Roles y permisos</w:t>
            </w:r>
          </w:p>
        </w:tc>
        <w:tc>
          <w:tcPr>
            <w:tcW w:type="dxa" w:w="1296"/>
            <w:shd w:val="clear" w:fill="F7F9F9"/>
          </w:tcPr>
          <w:p>
            <w:pPr>
              <w:spacing w:after="40"/>
            </w:pPr>
            <w:r/>
            <w:r>
              <w:rPr>
                <w:sz w:val="17"/>
              </w:rPr>
              <w:t>US-04</w:t>
            </w:r>
          </w:p>
        </w:tc>
        <w:tc>
          <w:tcPr>
            <w:tcW w:type="dxa" w:w="2592"/>
            <w:shd w:val="clear" w:fill="F7F9F9"/>
          </w:tcPr>
          <w:p>
            <w:pPr>
              <w:spacing w:after="40"/>
            </w:pPr>
            <w:r/>
            <w:r>
              <w:rPr>
                <w:sz w:val="17"/>
              </w:rPr>
              <w:t>users.role.read</w:t>
            </w:r>
          </w:p>
        </w:tc>
      </w:tr>
      <w:tr>
        <w:tc>
          <w:tcPr>
            <w:tcW w:type="dxa" w:w="2736"/>
          </w:tcPr>
          <w:p>
            <w:pPr>
              <w:spacing w:after="40"/>
            </w:pPr>
            <w:r/>
            <w:r>
              <w:rPr>
                <w:sz w:val="17"/>
              </w:rPr>
              <w:t>/usuarios</w:t>
            </w:r>
          </w:p>
        </w:tc>
        <w:tc>
          <w:tcPr>
            <w:tcW w:type="dxa" w:w="2880"/>
          </w:tcPr>
          <w:p>
            <w:pPr>
              <w:spacing w:after="40"/>
            </w:pPr>
            <w:r/>
            <w:r>
              <w:rPr>
                <w:sz w:val="17"/>
              </w:rPr>
              <w:t>Usuarios y asignación de roles</w:t>
            </w:r>
          </w:p>
        </w:tc>
        <w:tc>
          <w:tcPr>
            <w:tcW w:type="dxa" w:w="1296"/>
          </w:tcPr>
          <w:p>
            <w:pPr>
              <w:spacing w:after="40"/>
            </w:pPr>
            <w:r/>
            <w:r>
              <w:rPr>
                <w:sz w:val="17"/>
              </w:rPr>
              <w:t>US-04</w:t>
            </w:r>
          </w:p>
        </w:tc>
        <w:tc>
          <w:tcPr>
            <w:tcW w:type="dxa" w:w="2592"/>
          </w:tcPr>
          <w:p>
            <w:pPr>
              <w:spacing w:after="40"/>
            </w:pPr>
            <w:r/>
            <w:r>
              <w:rPr>
                <w:sz w:val="17"/>
              </w:rPr>
              <w:t>users.user.read</w:t>
            </w:r>
          </w:p>
        </w:tc>
      </w:tr>
      <w:tr>
        <w:tc>
          <w:tcPr>
            <w:tcW w:type="dxa" w:w="2736"/>
            <w:shd w:val="clear" w:fill="F7F9F9"/>
          </w:tcPr>
          <w:p>
            <w:pPr>
              <w:spacing w:after="40"/>
            </w:pPr>
            <w:r/>
            <w:r>
              <w:rPr>
                <w:sz w:val="17"/>
              </w:rPr>
              <w:t>/bitacora</w:t>
            </w:r>
          </w:p>
        </w:tc>
        <w:tc>
          <w:tcPr>
            <w:tcW w:type="dxa" w:w="2880"/>
            <w:shd w:val="clear" w:fill="F7F9F9"/>
          </w:tcPr>
          <w:p>
            <w:pPr>
              <w:spacing w:after="40"/>
            </w:pPr>
            <w:r/>
            <w:r>
              <w:rPr>
                <w:sz w:val="17"/>
              </w:rPr>
              <w:t>Bitácora de auditoría</w:t>
            </w:r>
          </w:p>
        </w:tc>
        <w:tc>
          <w:tcPr>
            <w:tcW w:type="dxa" w:w="1296"/>
            <w:shd w:val="clear" w:fill="F7F9F9"/>
          </w:tcPr>
          <w:p>
            <w:pPr>
              <w:spacing w:after="40"/>
            </w:pPr>
            <w:r/>
            <w:r>
              <w:rPr>
                <w:sz w:val="17"/>
              </w:rPr>
              <w:t>US-06</w:t>
            </w:r>
          </w:p>
        </w:tc>
        <w:tc>
          <w:tcPr>
            <w:tcW w:type="dxa" w:w="2592"/>
            <w:shd w:val="clear" w:fill="F7F9F9"/>
          </w:tcPr>
          <w:p>
            <w:pPr>
              <w:spacing w:after="40"/>
            </w:pPr>
            <w:r/>
            <w:r>
              <w:rPr>
                <w:sz w:val="17"/>
              </w:rPr>
              <w:t>audit.log.read</w:t>
            </w:r>
          </w:p>
        </w:tc>
      </w:tr>
      <w:tr>
        <w:tc>
          <w:tcPr>
            <w:tcW w:type="dxa" w:w="2736"/>
          </w:tcPr>
          <w:p>
            <w:pPr>
              <w:spacing w:after="40"/>
            </w:pPr>
            <w:r/>
            <w:r>
              <w:rPr>
                <w:sz w:val="17"/>
              </w:rPr>
              <w:t>/sucursales</w:t>
            </w:r>
          </w:p>
        </w:tc>
        <w:tc>
          <w:tcPr>
            <w:tcW w:type="dxa" w:w="2880"/>
          </w:tcPr>
          <w:p>
            <w:pPr>
              <w:spacing w:after="40"/>
            </w:pPr>
            <w:r/>
            <w:r>
              <w:rPr>
                <w:sz w:val="17"/>
              </w:rPr>
              <w:t>Gestión de sucursales</w:t>
            </w:r>
          </w:p>
        </w:tc>
        <w:tc>
          <w:tcPr>
            <w:tcW w:type="dxa" w:w="1296"/>
          </w:tcPr>
          <w:p>
            <w:pPr>
              <w:spacing w:after="40"/>
            </w:pPr>
            <w:r/>
            <w:r>
              <w:rPr>
                <w:sz w:val="17"/>
              </w:rPr>
              <w:t>US-11</w:t>
            </w:r>
          </w:p>
        </w:tc>
        <w:tc>
          <w:tcPr>
            <w:tcW w:type="dxa" w:w="2592"/>
          </w:tcPr>
          <w:p>
            <w:pPr>
              <w:spacing w:after="40"/>
            </w:pPr>
            <w:r/>
            <w:r>
              <w:rPr>
                <w:sz w:val="17"/>
              </w:rPr>
              <w:t>catalog.branch.read</w:t>
            </w:r>
          </w:p>
        </w:tc>
      </w:tr>
      <w:tr>
        <w:tc>
          <w:tcPr>
            <w:tcW w:type="dxa" w:w="2736"/>
            <w:shd w:val="clear" w:fill="F7F9F9"/>
          </w:tcPr>
          <w:p>
            <w:pPr>
              <w:spacing w:after="40"/>
            </w:pPr>
            <w:r/>
            <w:r>
              <w:rPr>
                <w:sz w:val="17"/>
              </w:rPr>
              <w:t>/especialidades</w:t>
            </w:r>
          </w:p>
        </w:tc>
        <w:tc>
          <w:tcPr>
            <w:tcW w:type="dxa" w:w="2880"/>
            <w:shd w:val="clear" w:fill="F7F9F9"/>
          </w:tcPr>
          <w:p>
            <w:pPr>
              <w:spacing w:after="40"/>
            </w:pPr>
            <w:r/>
            <w:r>
              <w:rPr>
                <w:sz w:val="17"/>
              </w:rPr>
              <w:t>Gestión de especialidades</w:t>
            </w:r>
          </w:p>
        </w:tc>
        <w:tc>
          <w:tcPr>
            <w:tcW w:type="dxa" w:w="1296"/>
            <w:shd w:val="clear" w:fill="F7F9F9"/>
          </w:tcPr>
          <w:p>
            <w:pPr>
              <w:spacing w:after="40"/>
            </w:pPr>
            <w:r/>
            <w:r>
              <w:rPr>
                <w:sz w:val="17"/>
              </w:rPr>
              <w:t>US-12</w:t>
            </w:r>
          </w:p>
        </w:tc>
        <w:tc>
          <w:tcPr>
            <w:tcW w:type="dxa" w:w="2592"/>
            <w:shd w:val="clear" w:fill="F7F9F9"/>
          </w:tcPr>
          <w:p>
            <w:pPr>
              <w:spacing w:after="40"/>
            </w:pPr>
            <w:r/>
            <w:r>
              <w:rPr>
                <w:sz w:val="17"/>
              </w:rPr>
              <w:t>catalog.specialty.read</w:t>
            </w:r>
          </w:p>
        </w:tc>
      </w:tr>
      <w:tr>
        <w:tc>
          <w:tcPr>
            <w:tcW w:type="dxa" w:w="2736"/>
          </w:tcPr>
          <w:p>
            <w:pPr>
              <w:spacing w:after="40"/>
            </w:pPr>
            <w:r/>
            <w:r>
              <w:rPr>
                <w:sz w:val="17"/>
              </w:rPr>
              <w:t>/profesionales</w:t>
            </w:r>
          </w:p>
        </w:tc>
        <w:tc>
          <w:tcPr>
            <w:tcW w:type="dxa" w:w="2880"/>
          </w:tcPr>
          <w:p>
            <w:pPr>
              <w:spacing w:after="40"/>
            </w:pPr>
            <w:r/>
            <w:r>
              <w:rPr>
                <w:sz w:val="17"/>
              </w:rPr>
              <w:t>Gestión de profesionales</w:t>
            </w:r>
          </w:p>
        </w:tc>
        <w:tc>
          <w:tcPr>
            <w:tcW w:type="dxa" w:w="1296"/>
          </w:tcPr>
          <w:p>
            <w:pPr>
              <w:spacing w:after="40"/>
            </w:pPr>
            <w:r/>
            <w:r>
              <w:rPr>
                <w:sz w:val="17"/>
              </w:rPr>
              <w:t>US-12</w:t>
            </w:r>
          </w:p>
        </w:tc>
        <w:tc>
          <w:tcPr>
            <w:tcW w:type="dxa" w:w="2592"/>
          </w:tcPr>
          <w:p>
            <w:pPr>
              <w:spacing w:after="40"/>
            </w:pPr>
            <w:r/>
            <w:r>
              <w:rPr>
                <w:sz w:val="17"/>
              </w:rPr>
              <w:t>catalog.professional.read</w:t>
            </w:r>
          </w:p>
        </w:tc>
      </w:tr>
      <w:tr>
        <w:tc>
          <w:tcPr>
            <w:tcW w:type="dxa" w:w="2736"/>
            <w:shd w:val="clear" w:fill="F7F9F9"/>
          </w:tcPr>
          <w:p>
            <w:pPr>
              <w:spacing w:after="40"/>
            </w:pPr>
            <w:r/>
            <w:r>
              <w:rPr>
                <w:sz w:val="17"/>
              </w:rPr>
              <w:t>/agendas</w:t>
            </w:r>
          </w:p>
        </w:tc>
        <w:tc>
          <w:tcPr>
            <w:tcW w:type="dxa" w:w="2880"/>
            <w:shd w:val="clear" w:fill="F7F9F9"/>
          </w:tcPr>
          <w:p>
            <w:pPr>
              <w:spacing w:after="40"/>
            </w:pPr>
            <w:r/>
            <w:r>
              <w:rPr>
                <w:sz w:val="17"/>
              </w:rPr>
              <w:t>Agendas médicas</w:t>
            </w:r>
          </w:p>
        </w:tc>
        <w:tc>
          <w:tcPr>
            <w:tcW w:type="dxa" w:w="1296"/>
            <w:shd w:val="clear" w:fill="F7F9F9"/>
          </w:tcPr>
          <w:p>
            <w:pPr>
              <w:spacing w:after="40"/>
            </w:pPr>
            <w:r/>
            <w:r>
              <w:rPr>
                <w:sz w:val="17"/>
              </w:rPr>
              <w:t>US-13</w:t>
            </w:r>
          </w:p>
        </w:tc>
        <w:tc>
          <w:tcPr>
            <w:tcW w:type="dxa" w:w="2592"/>
            <w:shd w:val="clear" w:fill="F7F9F9"/>
          </w:tcPr>
          <w:p>
            <w:pPr>
              <w:spacing w:after="40"/>
            </w:pPr>
            <w:r/>
            <w:r>
              <w:rPr>
                <w:sz w:val="17"/>
              </w:rPr>
              <w:t>scheduling.schedule.read</w:t>
            </w:r>
          </w:p>
        </w:tc>
      </w:tr>
      <w:tr>
        <w:tc>
          <w:tcPr>
            <w:tcW w:type="dxa" w:w="2736"/>
          </w:tcPr>
          <w:p>
            <w:pPr>
              <w:spacing w:after="40"/>
            </w:pPr>
            <w:r/>
            <w:r>
              <w:rPr>
                <w:sz w:val="17"/>
              </w:rPr>
              <w:t>/agendas/bloqueos</w:t>
            </w:r>
          </w:p>
        </w:tc>
        <w:tc>
          <w:tcPr>
            <w:tcW w:type="dxa" w:w="2880"/>
          </w:tcPr>
          <w:p>
            <w:pPr>
              <w:spacing w:after="40"/>
            </w:pPr>
            <w:r/>
            <w:r>
              <w:rPr>
                <w:sz w:val="17"/>
              </w:rPr>
              <w:t>Bloqueos y feriados</w:t>
            </w:r>
          </w:p>
        </w:tc>
        <w:tc>
          <w:tcPr>
            <w:tcW w:type="dxa" w:w="1296"/>
          </w:tcPr>
          <w:p>
            <w:pPr>
              <w:spacing w:after="40"/>
            </w:pPr>
            <w:r/>
            <w:r>
              <w:rPr>
                <w:sz w:val="17"/>
              </w:rPr>
              <w:t>US-14</w:t>
            </w:r>
          </w:p>
        </w:tc>
        <w:tc>
          <w:tcPr>
            <w:tcW w:type="dxa" w:w="2592"/>
          </w:tcPr>
          <w:p>
            <w:pPr>
              <w:spacing w:after="40"/>
            </w:pPr>
            <w:r/>
            <w:r>
              <w:rPr>
                <w:sz w:val="17"/>
              </w:rPr>
              <w:t>scheduling.block.read</w:t>
            </w:r>
          </w:p>
        </w:tc>
      </w:tr>
      <w:tr>
        <w:tc>
          <w:tcPr>
            <w:tcW w:type="dxa" w:w="2736"/>
            <w:shd w:val="clear" w:fill="F7F9F9"/>
          </w:tcPr>
          <w:p>
            <w:pPr>
              <w:spacing w:after="40"/>
            </w:pPr>
            <w:r/>
            <w:r>
              <w:rPr>
                <w:sz w:val="17"/>
              </w:rPr>
              <w:t>/disponibilidad</w:t>
            </w:r>
          </w:p>
        </w:tc>
        <w:tc>
          <w:tcPr>
            <w:tcW w:type="dxa" w:w="2880"/>
            <w:shd w:val="clear" w:fill="F7F9F9"/>
          </w:tcPr>
          <w:p>
            <w:pPr>
              <w:spacing w:after="40"/>
            </w:pPr>
            <w:r/>
            <w:r>
              <w:rPr>
                <w:sz w:val="17"/>
              </w:rPr>
              <w:t>Disponibilidad consolidada</w:t>
            </w:r>
          </w:p>
        </w:tc>
        <w:tc>
          <w:tcPr>
            <w:tcW w:type="dxa" w:w="1296"/>
            <w:shd w:val="clear" w:fill="F7F9F9"/>
          </w:tcPr>
          <w:p>
            <w:pPr>
              <w:spacing w:after="40"/>
            </w:pPr>
            <w:r/>
            <w:r>
              <w:rPr>
                <w:sz w:val="17"/>
              </w:rPr>
              <w:t>US-15</w:t>
            </w:r>
          </w:p>
        </w:tc>
        <w:tc>
          <w:tcPr>
            <w:tcW w:type="dxa" w:w="2592"/>
            <w:shd w:val="clear" w:fill="F7F9F9"/>
          </w:tcPr>
          <w:p>
            <w:pPr>
              <w:spacing w:after="40"/>
            </w:pPr>
            <w:r/>
            <w:r>
              <w:rPr>
                <w:sz w:val="17"/>
              </w:rPr>
              <w:t>scheduling.slot.read</w:t>
            </w:r>
          </w:p>
        </w:tc>
      </w:tr>
      <w:tr>
        <w:tc>
          <w:tcPr>
            <w:tcW w:type="dxa" w:w="2736"/>
          </w:tcPr>
          <w:p>
            <w:pPr>
              <w:spacing w:after="40"/>
            </w:pPr>
            <w:r/>
            <w:r>
              <w:rPr>
                <w:sz w:val="17"/>
              </w:rPr>
              <w:t>/buscar-profesionales</w:t>
            </w:r>
          </w:p>
        </w:tc>
        <w:tc>
          <w:tcPr>
            <w:tcW w:type="dxa" w:w="2880"/>
          </w:tcPr>
          <w:p>
            <w:pPr>
              <w:spacing w:after="40"/>
            </w:pPr>
            <w:r/>
            <w:r>
              <w:rPr>
                <w:sz w:val="17"/>
              </w:rPr>
              <w:t>Búsqueda de profesionales</w:t>
            </w:r>
          </w:p>
        </w:tc>
        <w:tc>
          <w:tcPr>
            <w:tcW w:type="dxa" w:w="1296"/>
          </w:tcPr>
          <w:p>
            <w:pPr>
              <w:spacing w:after="40"/>
            </w:pPr>
            <w:r/>
            <w:r>
              <w:rPr>
                <w:sz w:val="17"/>
              </w:rPr>
              <w:t>US-16</w:t>
            </w:r>
          </w:p>
        </w:tc>
        <w:tc>
          <w:tcPr>
            <w:tcW w:type="dxa" w:w="2592"/>
          </w:tcPr>
          <w:p>
            <w:pPr>
              <w:spacing w:after="40"/>
            </w:pPr>
            <w:r/>
            <w:r>
              <w:rPr>
                <w:sz w:val="17"/>
              </w:rPr>
              <w:t>catalog.professional.read</w:t>
            </w:r>
          </w:p>
        </w:tc>
      </w:tr>
    </w:tbl>
    <w:p>
      <w:pPr>
        <w:spacing w:after="40"/>
      </w:pPr>
    </w:p>
    <w:tbl>
      <w:tblPr>
        <w:tblW w:type="auto" w:w="0"/>
        <w:tblLook w:firstColumn="1" w:firstRow="1" w:lastColumn="0" w:lastRow="0" w:noHBand="0" w:noVBand="1" w:val="04A0"/>
      </w:tblPr>
      <w:tblGrid>
        <w:gridCol w:w="9648"/>
      </w:tblGrid>
      <w:tr>
        <w:tc>
          <w:tcPr>
            <w:tcW w:type="dxa" w:w="9648"/>
            <w:shd w:val="clear" w:fill="EAF3F1"/>
          </w:tcPr>
          <w:p>
            <w:r/>
            <w:r>
              <w:rPr>
                <w:color w:val="1A2025"/>
                <w:sz w:val="19"/>
              </w:rPr>
              <w:t>Si preguntan por US-05, US-09 y US-10 (perfil, búsqueda y ABM de pacientes): no se entregaron. Quedaron sin responsable y pasaron al Sprint 2, y así está registrado en docs/sprints/sprint-1/reparto.md. Decirlo de frente es mejor que que lo encuentren.</w:t>
            </w:r>
          </w:p>
        </w:tc>
      </w:tr>
    </w:tbl>
    <w:p>
      <w:pPr>
        <w:spacing w:after="40"/>
      </w:pPr>
    </w:p>
    <w:p>
      <w:pPr>
        <w:pStyle w:val="Heading1"/>
      </w:pPr>
      <w:r>
        <w:t>6. El despliegue en la nube</w:t>
      </w:r>
    </w:p>
    <w:p>
      <w:r>
        <w:t>El sistema está desplegado y funcionando, no corriendo en una laptop. Son dos servicios en el mismo proyecto de Railway, más la base en Supabase.</w:t>
      </w:r>
    </w:p>
    <w:tbl>
      <w:tblPr>
        <w:tblStyle w:val="TableGrid"/>
        <w:tblW w:type="auto" w:w="0"/>
        <w:jc w:val="center"/>
        <w:tblLook w:firstColumn="1" w:firstRow="1" w:lastColumn="0" w:lastRow="0" w:noHBand="0" w:noVBand="1" w:val="04A0"/>
      </w:tblPr>
      <w:tblGrid>
        <w:gridCol w:w="3216"/>
        <w:gridCol w:w="3216"/>
        <w:gridCol w:w="3216"/>
      </w:tblGrid>
      <w:tr>
        <w:tc>
          <w:tcPr>
            <w:tcW w:type="dxa" w:w="1296"/>
            <w:shd w:val="clear" w:fill="1F6F66"/>
          </w:tcPr>
          <w:p>
            <w:r/>
            <w:r>
              <w:rPr>
                <w:b/>
                <w:color w:val="FFFFFF"/>
                <w:sz w:val="18"/>
              </w:rPr>
              <w:t>Servicio</w:t>
            </w:r>
          </w:p>
        </w:tc>
        <w:tc>
          <w:tcPr>
            <w:tcW w:type="dxa" w:w="4176"/>
            <w:shd w:val="clear" w:fill="1F6F66"/>
          </w:tcPr>
          <w:p>
            <w:r/>
            <w:r>
              <w:rPr>
                <w:b/>
                <w:color w:val="FFFFFF"/>
                <w:sz w:val="18"/>
              </w:rPr>
              <w:t>Dirección</w:t>
            </w:r>
          </w:p>
        </w:tc>
        <w:tc>
          <w:tcPr>
            <w:tcW w:type="dxa" w:w="4032"/>
            <w:shd w:val="clear" w:fill="1F6F66"/>
          </w:tcPr>
          <w:p>
            <w:r/>
            <w:r>
              <w:rPr>
                <w:b/>
                <w:color w:val="FFFFFF"/>
                <w:sz w:val="18"/>
              </w:rPr>
              <w:t>Detalle</w:t>
            </w:r>
          </w:p>
        </w:tc>
      </w:tr>
      <w:tr>
        <w:tc>
          <w:tcPr>
            <w:tcW w:type="dxa" w:w="1296"/>
          </w:tcPr>
          <w:p>
            <w:pPr>
              <w:spacing w:after="40"/>
            </w:pPr>
            <w:r/>
            <w:r>
              <w:rPr>
                <w:sz w:val="17"/>
              </w:rPr>
              <w:t>API</w:t>
            </w:r>
          </w:p>
        </w:tc>
        <w:tc>
          <w:tcPr>
            <w:tcW w:type="dxa" w:w="4176"/>
          </w:tcPr>
          <w:p>
            <w:pPr>
              <w:spacing w:after="40"/>
            </w:pPr>
            <w:r/>
            <w:r>
              <w:rPr>
                <w:sz w:val="17"/>
              </w:rPr>
              <w:t>web-production-872fa.up.railway.app</w:t>
            </w:r>
          </w:p>
        </w:tc>
        <w:tc>
          <w:tcPr>
            <w:tcW w:type="dxa" w:w="4032"/>
          </w:tcPr>
          <w:p>
            <w:pPr>
              <w:spacing w:after="40"/>
            </w:pPr>
            <w:r/>
            <w:r>
              <w:rPr>
                <w:sz w:val="17"/>
              </w:rPr>
              <w:t>gunicorn, puerto 8000, migraciones en cada arranque</w:t>
            </w:r>
          </w:p>
        </w:tc>
      </w:tr>
      <w:tr>
        <w:tc>
          <w:tcPr>
            <w:tcW w:type="dxa" w:w="1296"/>
            <w:shd w:val="clear" w:fill="F7F9F9"/>
          </w:tcPr>
          <w:p>
            <w:pPr>
              <w:spacing w:after="40"/>
            </w:pPr>
            <w:r/>
            <w:r>
              <w:rPr>
                <w:sz w:val="17"/>
              </w:rPr>
              <w:t>Web</w:t>
            </w:r>
          </w:p>
        </w:tc>
        <w:tc>
          <w:tcPr>
            <w:tcW w:type="dxa" w:w="4176"/>
            <w:shd w:val="clear" w:fill="F7F9F9"/>
          </w:tcPr>
          <w:p>
            <w:pPr>
              <w:spacing w:after="40"/>
            </w:pPr>
            <w:r/>
            <w:r>
              <w:rPr>
                <w:sz w:val="17"/>
              </w:rPr>
              <w:t>platwebmovilmedicos-production-ae19.up.railway.app</w:t>
            </w:r>
          </w:p>
        </w:tc>
        <w:tc>
          <w:tcPr>
            <w:tcW w:type="dxa" w:w="4032"/>
            <w:shd w:val="clear" w:fill="F7F9F9"/>
          </w:tcPr>
          <w:p>
            <w:pPr>
              <w:spacing w:after="40"/>
            </w:pPr>
            <w:r/>
            <w:r>
              <w:rPr>
                <w:sz w:val="17"/>
              </w:rPr>
              <w:t>Root Directory frontend, puerto 4173, sirve dist con serve -s</w:t>
            </w:r>
          </w:p>
        </w:tc>
      </w:tr>
      <w:tr>
        <w:tc>
          <w:tcPr>
            <w:tcW w:type="dxa" w:w="1296"/>
          </w:tcPr>
          <w:p>
            <w:pPr>
              <w:spacing w:after="40"/>
            </w:pPr>
            <w:r/>
            <w:r>
              <w:rPr>
                <w:sz w:val="17"/>
              </w:rPr>
              <w:t>Base</w:t>
            </w:r>
          </w:p>
        </w:tc>
        <w:tc>
          <w:tcPr>
            <w:tcW w:type="dxa" w:w="4176"/>
          </w:tcPr>
          <w:p>
            <w:pPr>
              <w:spacing w:after="40"/>
            </w:pPr>
            <w:r/>
            <w:r>
              <w:rPr>
                <w:sz w:val="17"/>
              </w:rPr>
              <w:t>Supabase · us-east-1</w:t>
            </w:r>
          </w:p>
        </w:tc>
        <w:tc>
          <w:tcPr>
            <w:tcW w:type="dxa" w:w="4032"/>
          </w:tcPr>
          <w:p>
            <w:pPr>
              <w:spacing w:after="40"/>
            </w:pPr>
            <w:r/>
            <w:r>
              <w:rPr>
                <w:sz w:val="17"/>
              </w:rPr>
              <w:t>PostgreSQL 16 con RLS activo</w:t>
            </w:r>
          </w:p>
        </w:tc>
      </w:tr>
    </w:tbl>
    <w:p>
      <w:pPr>
        <w:spacing w:after="40"/>
      </w:pPr>
    </w:p>
    <w:p>
      <w:r>
        <w:t>Tres detalles del despliegue que costaron una vuelta cada uno y que conviene tener a mano, porque son exactamente el tipo de pregunta que hace un tribunal:</w:t>
      </w:r>
    </w:p>
    <w:p>
      <w:pPr>
        <w:pStyle w:val="ListBullet"/>
      </w:pPr>
      <w:r>
        <w:rPr>
          <w:b/>
        </w:rPr>
        <w:t xml:space="preserve">Variables en espera. </w:t>
      </w:r>
      <w:r>
        <w:t>Railway deja los cambios de variables en espera: hay que aplicarlos con el botón de arriba, no con Redeploy, que reconstruye con la configuración anterior.</w:t>
      </w:r>
    </w:p>
    <w:p>
      <w:pPr>
        <w:pStyle w:val="ListBullet"/>
      </w:pPr>
      <w:r>
        <w:rPr>
          <w:b/>
        </w:rPr>
        <w:t xml:space="preserve">La versión de Node. </w:t>
      </w:r>
      <w:r>
        <w:t>El constructor elegía Node 18 porque el repositorio no declaraba versión, y Vite 8 exige 22.12 o superior. Se resolvió fijando la versión en frontend/.nvmrc y en engines.</w:t>
      </w:r>
    </w:p>
    <w:p>
      <w:pPr>
        <w:pStyle w:val="ListBullet"/>
      </w:pPr>
      <w:r>
        <w:rPr>
          <w:b/>
        </w:rPr>
        <w:t xml:space="preserve">El puerto. </w:t>
      </w:r>
      <w:r>
        <w:t>El puerto del diálogo del dominio tiene que coincidir con la variable PORT. Si no coinciden, el síntoma es un 502 que no menciona puertos por ningún lado.</w:t>
      </w:r>
    </w:p>
    <w:p>
      <w:r>
        <w:t>El servir dist con serve -s tampoco es casual: es la bandera que hace que recargar una ruta del enrutador de React no devuelva 404.</w:t>
      </w:r>
    </w:p>
    <w:tbl>
      <w:tblPr>
        <w:tblW w:type="auto" w:w="0"/>
        <w:tblLook w:firstColumn="1" w:firstRow="1" w:lastColumn="0" w:lastRow="0" w:noHBand="0" w:noVBand="1" w:val="04A0"/>
      </w:tblPr>
      <w:tblGrid>
        <w:gridCol w:w="9648"/>
      </w:tblGrid>
      <w:tr>
        <w:tc>
          <w:tcPr>
            <w:tcW w:type="dxa" w:w="9648"/>
            <w:shd w:val="clear" w:fill="EAF3F1"/>
          </w:tcPr>
          <w:p>
            <w:r/>
            <w:r>
              <w:rPr>
                <w:color w:val="1A2025"/>
                <w:sz w:val="19"/>
              </w:rPr>
              <w:t>Mantenimiento, lo único que hay: Supabase en su plan gratuito se pausa a los siete días sin actividad. Antes de cualquier defensa o demostración hay que entrar al panel y verificar que el proyecto está activo.</w:t>
            </w:r>
          </w:p>
        </w:tc>
      </w:tr>
    </w:tbl>
    <w:p>
      <w:pPr>
        <w:spacing w:after="40"/>
      </w:pPr>
    </w:p>
    <w:p>
      <w:pPr>
        <w:pStyle w:val="Heading1"/>
      </w:pPr>
      <w:r>
        <w:t>7. Cómo se verificó</w:t>
      </w:r>
    </w:p>
    <w:p>
      <w:r>
        <w:t>Comprobaciones hechas contra el despliegue real el 10 de septiembre de 2026, no contra el entorno local:</w:t>
      </w:r>
    </w:p>
    <w:tbl>
      <w:tblPr>
        <w:tblW w:type="auto" w:w="0"/>
        <w:jc w:val="center"/>
        <w:tblLook w:firstColumn="1" w:firstRow="1" w:lastColumn="0" w:lastRow="0" w:noHBand="0" w:noVBand="1" w:val="04A0"/>
      </w:tblPr>
      <w:tblGrid>
        <w:gridCol w:w="9648"/>
      </w:tblGrid>
      <w:tr>
        <w:tc>
          <w:tcPr>
            <w:tcW w:type="dxa" w:w="9648"/>
            <w:shd w:val="clear" w:fill="F2F4F5"/>
          </w:tcPr>
          <w:p>
            <w:pPr>
              <w:spacing w:after="0" w:line="240" w:lineRule="auto"/>
            </w:pPr>
            <w:r/>
            <w:r>
              <w:rPr>
                <w:rFonts w:ascii="Consolas" w:hAnsi="Consolas"/>
                <w:color w:val="1A2025"/>
                <w:sz w:val="17"/>
              </w:rPr>
              <w:t>GET  /api/health/                       200   {"status":"ok"}</w:t>
            </w:r>
          </w:p>
          <w:p>
            <w:pPr>
              <w:spacing w:after="0" w:line="240" w:lineRule="auto"/>
            </w:pPr>
            <w:r>
              <w:rPr>
                <w:rFonts w:ascii="Consolas" w:hAnsi="Consolas"/>
                <w:color w:val="1A2025"/>
                <w:sz w:val="17"/>
              </w:rPr>
              <w:t>GET  /api/accounts/me/                  401   sin token, como corresponde</w:t>
            </w:r>
          </w:p>
          <w:p>
            <w:pPr>
              <w:spacing w:after="0" w:line="240" w:lineRule="auto"/>
            </w:pPr>
            <w:r>
              <w:rPr>
                <w:rFonts w:ascii="Consolas" w:hAnsi="Consolas"/>
                <w:color w:val="1A2025"/>
                <w:sz w:val="17"/>
              </w:rPr>
              <w:t>GET  /api/catalog/professionals/manage/ 401   endpoint de US-12, ya desplegado</w:t>
            </w:r>
          </w:p>
          <w:p>
            <w:pPr>
              <w:spacing w:after="0" w:line="240" w:lineRule="auto"/>
            </w:pPr>
            <w:r>
              <w:rPr>
                <w:rFonts w:ascii="Consolas" w:hAnsi="Consolas"/>
                <w:color w:val="1A2025"/>
                <w:sz w:val="17"/>
              </w:rPr>
              <w:t>POST /api/accounts/login/  org falsa    400   organizacion_no_disponible</w:t>
            </w:r>
          </w:p>
          <w:p>
            <w:pPr>
              <w:spacing w:after="0" w:line="240" w:lineRule="auto"/>
            </w:pPr>
            <w:r>
              <w:rPr>
                <w:rFonts w:ascii="Consolas" w:hAnsi="Consolas"/>
                <w:color w:val="1A2025"/>
                <w:sz w:val="17"/>
              </w:rPr>
              <w:t>POST /api/accounts/login/  sin org      401   credenciales_invalidas</w:t>
            </w:r>
          </w:p>
          <w:p>
            <w:pPr>
              <w:spacing w:after="0" w:line="240" w:lineRule="auto"/>
            </w:pPr>
            <w:r>
              <w:rPr>
                <w:rFonts w:ascii="Consolas" w:hAnsi="Consolas"/>
                <w:color w:val="1A2025"/>
                <w:sz w:val="17"/>
              </w:rPr>
            </w:r>
          </w:p>
          <w:p>
            <w:pPr>
              <w:spacing w:after="0" w:line="240" w:lineRule="auto"/>
            </w:pPr>
            <w:r>
              <w:rPr>
                <w:rFonts w:ascii="Consolas" w:hAnsi="Consolas"/>
                <w:color w:val="1A2025"/>
                <w:sz w:val="17"/>
              </w:rPr>
              <w:t>tiempo de respuesta                     0,63 s</w:t>
            </w:r>
          </w:p>
        </w:tc>
      </w:tr>
    </w:tbl>
    <w:p>
      <w:pPr>
        <w:spacing w:after="40"/>
      </w:pPr>
    </w:p>
    <w:p>
      <w:pPr>
        <w:pStyle w:val="ListBullet"/>
      </w:pPr>
      <w:r>
        <w:rPr>
          <w:b/>
        </w:rPr>
        <w:t xml:space="preserve">El frontend en producción está al día: </w:t>
      </w:r>
      <w:r>
        <w:t>el bundle desplegado contiene las páginas de sucursales, especialidades, profesionales, planes, suscripciones y bitácora, y apunta al backend correcto;</w:t>
      </w:r>
    </w:p>
    <w:p>
      <w:pPr>
        <w:pStyle w:val="ListBullet"/>
      </w:pPr>
      <w:r>
        <w:rPr>
          <w:b/>
        </w:rPr>
        <w:t xml:space="preserve">CORS verificado en las dos direcciones: </w:t>
      </w:r>
      <w:r>
        <w:t>el origen del frontend recibe access-control-allow-origin en el preflight y en la respuesta real, y un origen ajeno no la recibe;</w:t>
      </w:r>
    </w:p>
    <w:p>
      <w:pPr>
        <w:pStyle w:val="ListBullet"/>
      </w:pPr>
      <w:r>
        <w:rPr>
          <w:b/>
        </w:rPr>
        <w:t xml:space="preserve">Cabeceras de seguridad: </w:t>
      </w:r>
      <w:r>
        <w:t>301 de http a https, HSTS, y un 404 sin traza, que prueba que DEBUG=False es real en producción.</w:t>
      </w:r>
    </w:p>
    <w:p>
      <w:r>
        <w:t>El backend tiene 265 pruebas automatizadas en backend/tests/, repartidas por historia, más 29 dedicadas exclusivamente al aislamiento entre organizaciones.</w:t>
      </w:r>
    </w:p>
    <w:tbl>
      <w:tblPr>
        <w:tblW w:type="auto" w:w="0"/>
        <w:tblLook w:firstColumn="1" w:firstRow="1" w:lastColumn="0" w:lastRow="0" w:noHBand="0" w:noVBand="1" w:val="04A0"/>
      </w:tblPr>
      <w:tblGrid>
        <w:gridCol w:w="9648"/>
      </w:tblGrid>
      <w:tr>
        <w:tc>
          <w:tcPr>
            <w:tcW w:type="dxa" w:w="9648"/>
            <w:shd w:val="clear" w:fill="EAF3F1"/>
          </w:tcPr>
          <w:p>
            <w:r/>
            <w:r>
              <w:rPr>
                <w:color w:val="1A2025"/>
                <w:sz w:val="19"/>
              </w:rPr>
              <w:t>Honestidad sobre lo que falta: el frontend web no tiene pruebas automatizadas. Se validó manualmente y se apoya en las 265 del backend, que es donde vive la lógica. Si lo preguntan, ésa es la respuesta —y es una deuda reconocida, no un descuido.</w:t>
            </w:r>
          </w:p>
        </w:tc>
      </w:tr>
    </w:tbl>
    <w:p>
      <w:pPr>
        <w:spacing w:after="40"/>
      </w:pPr>
    </w:p>
    <w:p>
      <w:pPr>
        <w:pStyle w:val="Heading1"/>
      </w:pPr>
      <w:r>
        <w:t>8. Preguntas probables y cómo responderlas</w:t>
      </w:r>
    </w:p>
    <w:tbl>
      <w:tblPr>
        <w:tblStyle w:val="TableGrid"/>
        <w:tblW w:type="auto" w:w="0"/>
        <w:jc w:val="center"/>
        <w:tblLook w:firstColumn="1" w:firstRow="1" w:lastColumn="0" w:lastRow="0" w:noHBand="0" w:noVBand="1" w:val="04A0"/>
      </w:tblPr>
      <w:tblGrid>
        <w:gridCol w:w="4824"/>
        <w:gridCol w:w="4824"/>
      </w:tblGrid>
      <w:tr>
        <w:tc>
          <w:tcPr>
            <w:tcW w:type="dxa" w:w="3744"/>
            <w:shd w:val="clear" w:fill="1F6F66"/>
          </w:tcPr>
          <w:p>
            <w:r/>
            <w:r>
              <w:rPr>
                <w:b/>
                <w:color w:val="FFFFFF"/>
                <w:sz w:val="18"/>
              </w:rPr>
              <w:t>Pregunta</w:t>
            </w:r>
          </w:p>
        </w:tc>
        <w:tc>
          <w:tcPr>
            <w:tcW w:type="dxa" w:w="5760"/>
            <w:shd w:val="clear" w:fill="1F6F66"/>
          </w:tcPr>
          <w:p>
            <w:r/>
            <w:r>
              <w:rPr>
                <w:b/>
                <w:color w:val="FFFFFF"/>
                <w:sz w:val="18"/>
              </w:rPr>
              <w:t>Respuesta corta</w:t>
            </w:r>
          </w:p>
        </w:tc>
      </w:tr>
      <w:tr>
        <w:tc>
          <w:tcPr>
            <w:tcW w:type="dxa" w:w="3744"/>
          </w:tcPr>
          <w:p>
            <w:pPr>
              <w:spacing w:after="40"/>
            </w:pPr>
            <w:r/>
            <w:r>
              <w:rPr>
                <w:sz w:val="17"/>
              </w:rPr>
              <w:t>¿Cómo sabe el backend a qué centro médico pertenece una petición?</w:t>
            </w:r>
          </w:p>
        </w:tc>
        <w:tc>
          <w:tcPr>
            <w:tcW w:type="dxa" w:w="5760"/>
          </w:tcPr>
          <w:p>
            <w:pPr>
              <w:spacing w:after="40"/>
            </w:pPr>
            <w:r/>
            <w:r>
              <w:rPr>
                <w:sz w:val="17"/>
              </w:rPr>
              <w:t>Del claim organization_id del token si está autenticada; del encabezado X-Organization si no lo está. El contexto lo fija accounts/authentication.py.</w:t>
            </w:r>
          </w:p>
        </w:tc>
      </w:tr>
      <w:tr>
        <w:tc>
          <w:tcPr>
            <w:tcW w:type="dxa" w:w="3744"/>
            <w:shd w:val="clear" w:fill="F7F9F9"/>
          </w:tcPr>
          <w:p>
            <w:pPr>
              <w:spacing w:after="40"/>
            </w:pPr>
            <w:r/>
            <w:r>
              <w:rPr>
                <w:sz w:val="17"/>
              </w:rPr>
              <w:t>¿Qué pasa si un administrador intenta ver datos de otra organización?</w:t>
            </w:r>
          </w:p>
        </w:tc>
        <w:tc>
          <w:tcPr>
            <w:tcW w:type="dxa" w:w="5760"/>
            <w:shd w:val="clear" w:fill="F7F9F9"/>
          </w:tcPr>
          <w:p>
            <w:pPr>
              <w:spacing w:after="40"/>
            </w:pPr>
            <w:r/>
            <w:r>
              <w:rPr>
                <w:sz w:val="17"/>
              </w:rPr>
              <w:t>No es que la vista lo rechace: la consulta devuelve cero filas, porque la política RLS de PostgreSQL filtra antes. Está probado con 29 pruebas.</w:t>
            </w:r>
          </w:p>
        </w:tc>
      </w:tr>
      <w:tr>
        <w:tc>
          <w:tcPr>
            <w:tcW w:type="dxa" w:w="3744"/>
          </w:tcPr>
          <w:p>
            <w:pPr>
              <w:spacing w:after="40"/>
            </w:pPr>
            <w:r/>
            <w:r>
              <w:rPr>
                <w:sz w:val="17"/>
              </w:rPr>
              <w:t>¿Por qué guardan el token en localStorage si es vulnerable a XSS?</w:t>
            </w:r>
          </w:p>
        </w:tc>
        <w:tc>
          <w:tcPr>
            <w:tcW w:type="dxa" w:w="5760"/>
          </w:tcPr>
          <w:p>
            <w:pPr>
              <w:spacing w:after="40"/>
            </w:pPr>
            <w:r/>
            <w:r>
              <w:rPr>
                <w:sz w:val="17"/>
              </w:rPr>
              <w:t>Porque el backend hoy no emite cookies. Está documentado como decisión con su costo, y mitigado con 30 minutos de vida y rotación del refresco.</w:t>
            </w:r>
          </w:p>
        </w:tc>
      </w:tr>
      <w:tr>
        <w:tc>
          <w:tcPr>
            <w:tcW w:type="dxa" w:w="3744"/>
            <w:shd w:val="clear" w:fill="F7F9F9"/>
          </w:tcPr>
          <w:p>
            <w:pPr>
              <w:spacing w:after="40"/>
            </w:pPr>
            <w:r/>
            <w:r>
              <w:rPr>
                <w:sz w:val="17"/>
              </w:rPr>
              <w:t>¿Cambiar de servidor exige recompilar?</w:t>
            </w:r>
          </w:p>
        </w:tc>
        <w:tc>
          <w:tcPr>
            <w:tcW w:type="dxa" w:w="5760"/>
            <w:shd w:val="clear" w:fill="F7F9F9"/>
          </w:tcPr>
          <w:p>
            <w:pPr>
              <w:spacing w:after="40"/>
            </w:pPr>
            <w:r/>
            <w:r>
              <w:rPr>
                <w:sz w:val="17"/>
              </w:rPr>
              <w:t>El backend no. El frontend sí: Vite incrusta la URL al compilar. El móvil también, con --dart-define.</w:t>
            </w:r>
          </w:p>
        </w:tc>
      </w:tr>
      <w:tr>
        <w:tc>
          <w:tcPr>
            <w:tcW w:type="dxa" w:w="3744"/>
          </w:tcPr>
          <w:p>
            <w:pPr>
              <w:spacing w:after="40"/>
            </w:pPr>
            <w:r/>
            <w:r>
              <w:rPr>
                <w:sz w:val="17"/>
              </w:rPr>
              <w:t>¿Los permisos están quemados en el código?</w:t>
            </w:r>
          </w:p>
        </w:tc>
        <w:tc>
          <w:tcPr>
            <w:tcW w:type="dxa" w:w="5760"/>
          </w:tcPr>
          <w:p>
            <w:pPr>
              <w:spacing w:after="40"/>
            </w:pPr>
            <w:r/>
            <w:r>
              <w:rPr>
                <w:sz w:val="17"/>
              </w:rPr>
              <w:t>No. Cada organización clona las plantillas de rol al darse de alta y edita su copia. El menú se arma leyendo los permisos del usuario.</w:t>
            </w:r>
          </w:p>
        </w:tc>
      </w:tr>
      <w:tr>
        <w:tc>
          <w:tcPr>
            <w:tcW w:type="dxa" w:w="3744"/>
            <w:shd w:val="clear" w:fill="F7F9F9"/>
          </w:tcPr>
          <w:p>
            <w:pPr>
              <w:spacing w:after="40"/>
            </w:pPr>
            <w:r/>
            <w:r>
              <w:rPr>
                <w:sz w:val="17"/>
              </w:rPr>
              <w:t>¿Qué historias no entregaron?</w:t>
            </w:r>
          </w:p>
        </w:tc>
        <w:tc>
          <w:tcPr>
            <w:tcW w:type="dxa" w:w="5760"/>
            <w:shd w:val="clear" w:fill="F7F9F9"/>
          </w:tcPr>
          <w:p>
            <w:pPr>
              <w:spacing w:after="40"/>
            </w:pPr>
            <w:r/>
            <w:r>
              <w:rPr>
                <w:sz w:val="17"/>
              </w:rPr>
              <w:t>US-05, US-09 y US-10. Quedaron sin responsable y pasaron al Sprint 2.</w:t>
            </w:r>
          </w:p>
        </w:tc>
      </w:tr>
    </w:tbl>
    <w:p>
      <w:pPr>
        <w:spacing w:after="40"/>
      </w:pPr>
    </w:p>
    <w:sectPr w:rsidR="00FC693F" w:rsidRPr="0006063C" w:rsidSect="00034616">
      <w:pgSz w:w="12240" w:h="15840"/>
      <w:pgMar w:top="1224" w:right="1296" w:bottom="122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Calibri" w:hAnsi="Calibri"/>
      <w:b/>
      <w:bCs/>
      <w:color w:val="1F6F66"/>
      <w:sz w:val="3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1F6F66"/>
      <w:sz w:val="27"/>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1F6F6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