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0.png" ContentType="image/png"/>
  <Override PartName="/word/media/image24.png" ContentType="image/png"/>
  <Override PartName="/word/media/image9.png" ContentType="image/png"/>
  <Override PartName="/word/media/image23.png" ContentType="image/png"/>
  <Override PartName="/word/media/image8.png" ContentType="image/png"/>
  <Override PartName="/word/media/image22.png" ContentType="image/png"/>
  <Override PartName="/word/media/image7.png" ContentType="image/png"/>
  <Override PartName="/word/media/image11.png" ContentType="image/png"/>
  <Override PartName="/word/media/image21.png" ContentType="image/png"/>
  <Override PartName="/word/media/image6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17"/>
        <w:numPr>
          <w:ilvl w:val="0"/>
          <w:numId w:val="5"/>
        </w:numPr>
        <w:jc w:val="center"/>
        <w:rPr/>
      </w:pPr>
      <w:r>
        <w:rPr/>
        <w:t>МИНОБРНАУКИ РОССИИ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САНКТ-ПЕТЕРБУРГСКИЙ ГОСУДАРСТВЕННЫЙ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ЭЛЕКТРОТЕХНИЧЕСКИЙ УНИВЕРСИТЕТ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«ЛЭТИ» ИМ. В.И. УЛЬЯНОВА (ЛЕНИНА)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Кафедра Вычислительной техники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ОТЧЁТ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по лабораторной работе №6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по дисциплине «Элементная база цифровых систем»</w:t>
      </w:r>
    </w:p>
    <w:p>
      <w:pPr>
        <w:pStyle w:val="Style17"/>
        <w:numPr>
          <w:ilvl w:val="0"/>
          <w:numId w:val="5"/>
        </w:numPr>
        <w:jc w:val="center"/>
        <w:rPr/>
      </w:pPr>
      <w:r>
        <w:rPr/>
        <w:t>Тема: ПРОЕКТИРОВАНИЕ РАСПРЕДЕЛИТЕЛЕЙ ТАКТОВЫХ СИГНАЛОВ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t>Вариант 5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tbl>
      <w:tblPr>
        <w:tblW w:w="9638" w:type="dxa"/>
        <w:jc w:val="left"/>
        <w:tblInd w:w="0" w:type="dxa"/>
        <w:tblBorders/>
        <w:tblCellMar>
          <w:top w:w="55" w:type="dxa"/>
          <w:left w:w="43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Студенты гр. 9308</w:t>
            </w:r>
          </w:p>
        </w:tc>
        <w:tc>
          <w:tcPr>
            <w:tcW w:w="3213" w:type="dxa"/>
            <w:tcBorders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Соболев М.С.</w:t>
            </w:r>
          </w:p>
        </w:tc>
      </w:tr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>
              <w:top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Степовик В.С.</w:t>
            </w:r>
          </w:p>
        </w:tc>
      </w:tr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>
              <w:top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Дубенков С.А.</w:t>
            </w:r>
          </w:p>
        </w:tc>
      </w:tr>
      <w:tr>
        <w:trPr/>
        <w:tc>
          <w:tcPr>
            <w:tcW w:w="3212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Преподаватель</w:t>
            </w:r>
          </w:p>
        </w:tc>
        <w:tc>
          <w:tcPr>
            <w:tcW w:w="3213" w:type="dxa"/>
            <w:tcBorders>
              <w:top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</w:r>
          </w:p>
        </w:tc>
        <w:tc>
          <w:tcPr>
            <w:tcW w:w="3213" w:type="dxa"/>
            <w:tcBorders/>
            <w:shd w:fill="auto" w:val="clear"/>
          </w:tcPr>
          <w:p>
            <w:pPr>
              <w:pStyle w:val="Style22"/>
              <w:rPr/>
            </w:pPr>
            <w:r>
              <w:rPr/>
              <w:t>Ельчанинов М.Н.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  <w:r>
        <w:br w:type="page"/>
      </w:r>
    </w:p>
    <w:p>
      <w:pPr>
        <w:pStyle w:val="TOAHeading"/>
        <w:rPr/>
      </w:pPr>
      <w:r>
        <w:rPr/>
        <w:t>Оглавление</w:t>
      </w:r>
    </w:p>
    <w:p>
      <w:pPr>
        <w:pStyle w:val="11"/>
        <w:tabs>
          <w:tab w:val="right" w:pos="9638" w:leader="dot"/>
        </w:tabs>
        <w:rPr/>
      </w:pPr>
      <w:r>
        <w:fldChar w:fldCharType="begin"/>
      </w:r>
      <w:r>
        <w:rPr>
          <w:rStyle w:val="Style11"/>
        </w:rPr>
        <w:instrText> TOC \f \o "1-9" \h</w:instrText>
      </w:r>
      <w:r>
        <w:rPr>
          <w:rStyle w:val="Style11"/>
        </w:rPr>
        <w:fldChar w:fldCharType="separate"/>
      </w:r>
      <w:hyperlink w:anchor="__RefHeading___Toc336_311249038">
        <w:r>
          <w:rPr>
            <w:rStyle w:val="Style11"/>
          </w:rPr>
          <w:t>1. Введение</w:t>
          <w:tab/>
          <w:t>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330_7389959">
        <w:r>
          <w:rPr>
            <w:rStyle w:val="Style11"/>
          </w:rPr>
          <w:t>1.1. Введение</w:t>
          <w:tab/>
          <w:t>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332_7389959">
        <w:r>
          <w:rPr>
            <w:rStyle w:val="Style11"/>
          </w:rPr>
          <w:t>1.2. Краткие теоретические сведения</w:t>
          <w:tab/>
          <w:t>3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336_7389959">
        <w:r>
          <w:rPr>
            <w:rStyle w:val="Style11"/>
          </w:rPr>
          <w:t>1.3. Задание на лабораторную работу</w:t>
          <w:tab/>
          <w:t>7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25638_1320847207">
        <w:r>
          <w:rPr>
            <w:rStyle w:val="Style11"/>
          </w:rPr>
          <w:t>1.4. Последовательность выполнения работы</w:t>
          <w:tab/>
          <w:t>8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338_311249038">
        <w:r>
          <w:rPr>
            <w:rStyle w:val="Style11"/>
          </w:rPr>
          <w:t>2. Ход работы</w:t>
          <w:tab/>
          <w:t>9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4340_7389959">
        <w:r>
          <w:rPr>
            <w:rStyle w:val="Style11"/>
          </w:rPr>
          <w:t>2.1. Синтез распределителя тактовых сигналов на основе сдвигающего регистра</w:t>
          <w:tab/>
          <w:t>9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0_1320847207">
        <w:r>
          <w:rPr>
            <w:rStyle w:val="Style11"/>
          </w:rPr>
          <w:t>2.1.1. Вариант задания</w:t>
          <w:tab/>
          <w:t>9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2_1320847207">
        <w:r>
          <w:rPr>
            <w:rStyle w:val="Style11"/>
          </w:rPr>
          <w:t>2.1.2. Функциональная схема</w:t>
          <w:tab/>
          <w:t>9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4_1320847207">
        <w:r>
          <w:rPr>
            <w:rStyle w:val="Style11"/>
          </w:rPr>
          <w:t>2.1.3. Функциональное и временное моделирование</w:t>
          <w:tab/>
          <w:t>10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6_1320847207">
        <w:r>
          <w:rPr>
            <w:rStyle w:val="Style11"/>
          </w:rPr>
          <w:t>2.1.4. Макетное моделирование</w:t>
          <w:tab/>
          <w:t>15</w:t>
        </w:r>
      </w:hyperlink>
    </w:p>
    <w:p>
      <w:pPr>
        <w:pStyle w:val="21"/>
        <w:tabs>
          <w:tab w:val="right" w:pos="9638" w:leader="dot"/>
        </w:tabs>
        <w:rPr/>
      </w:pPr>
      <w:hyperlink w:anchor="__RefHeading___Toc12132_2067955445">
        <w:r>
          <w:rPr>
            <w:rStyle w:val="Style11"/>
          </w:rPr>
          <w:t>2.2. Синтез РТС на основе счётчика Джонсона</w:t>
          <w:tab/>
          <w:t>18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48_1320847207">
        <w:r>
          <w:rPr>
            <w:rStyle w:val="Style11"/>
          </w:rPr>
          <w:t>2.2.1. Вариант задания</w:t>
          <w:tab/>
          <w:t>18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50_1320847207">
        <w:r>
          <w:rPr>
            <w:rStyle w:val="Style11"/>
          </w:rPr>
          <w:t>2.2.2. Функциональная схема</w:t>
          <w:tab/>
          <w:t>18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52_1320847207">
        <w:r>
          <w:rPr>
            <w:rStyle w:val="Style11"/>
          </w:rPr>
          <w:t>2.2.3. Функциональное и временное моделирование</w:t>
          <w:tab/>
          <w:t>18</w:t>
        </w:r>
      </w:hyperlink>
    </w:p>
    <w:p>
      <w:pPr>
        <w:pStyle w:val="31"/>
        <w:tabs>
          <w:tab w:val="right" w:pos="9638" w:leader="dot"/>
        </w:tabs>
        <w:rPr/>
      </w:pPr>
      <w:hyperlink w:anchor="__RefHeading___Toc25654_1320847207">
        <w:r>
          <w:rPr>
            <w:rStyle w:val="Style11"/>
          </w:rPr>
          <w:t>2.2.4. Макетное моделирование</w:t>
          <w:tab/>
          <w:t>25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358_311249038">
        <w:r>
          <w:rPr>
            <w:rStyle w:val="Style11"/>
          </w:rPr>
          <w:t>3. Вывод</w:t>
          <w:tab/>
          <w:t>28</w:t>
        </w:r>
      </w:hyperlink>
    </w:p>
    <w:p>
      <w:pPr>
        <w:pStyle w:val="11"/>
        <w:tabs>
          <w:tab w:val="right" w:pos="9638" w:leader="dot"/>
        </w:tabs>
        <w:rPr/>
      </w:pPr>
      <w:hyperlink w:anchor="__RefHeading___Toc360_311249038">
        <w:r>
          <w:rPr>
            <w:rStyle w:val="Style11"/>
          </w:rPr>
          <w:t>4. Список использованных источников</w:t>
          <w:tab/>
          <w:t>29</w:t>
        </w:r>
      </w:hyperlink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rPr/>
        <w:fldChar w:fldCharType="end"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4"/>
        </w:numPr>
        <w:rPr/>
      </w:pPr>
      <w:bookmarkStart w:id="0" w:name="__RefHeading___Toc336_311249038"/>
      <w:bookmarkEnd w:id="0"/>
      <w:r>
        <w:rPr/>
        <w:t>1. Введение</w:t>
      </w:r>
    </w:p>
    <w:p>
      <w:pPr>
        <w:pStyle w:val="2"/>
        <w:numPr>
          <w:ilvl w:val="1"/>
          <w:numId w:val="3"/>
        </w:numPr>
        <w:rPr/>
      </w:pPr>
      <w:bookmarkStart w:id="1" w:name="__RefHeading___Toc4330_7389959"/>
      <w:bookmarkEnd w:id="1"/>
      <w:r>
        <w:rPr/>
        <w:t>1.1. Введение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Тема работы: Проектирование распределителей тактовых сигналов.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Цель работы: </w:t>
      </w:r>
      <w:bookmarkStart w:id="2" w:name="__DdeLink__1188_2288056395"/>
      <w:r>
        <w:rPr/>
        <w:t>Исследовать особенности функционирования распределителей тактовых сигналов, построенных на сдвигающих регистрах и счётчиках Джонсона</w:t>
      </w:r>
      <w:bookmarkEnd w:id="2"/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Вариант: 5.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2"/>
        <w:numPr>
          <w:ilvl w:val="1"/>
          <w:numId w:val="3"/>
        </w:numPr>
        <w:rPr/>
      </w:pPr>
      <w:bookmarkStart w:id="3" w:name="__RefHeading___Toc4332_7389959"/>
      <w:bookmarkEnd w:id="3"/>
      <w:r>
        <w:rPr/>
        <w:t>1.2. Краткие теоретические сведения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Распределители тактовых сигналов (РТС) или счётчики в коде «1 из N», формируют импульсные последовательности с заданными временными диаграммами. Для получения таких последовательностей период формируемой временной диаграммы разбивается на части («кванты»), соответствующие минимальному временному интервалу, с использованием задающего генератора с частотой, равной m/Т, где m – число «квантов» в периоде диаграммы Т. Далее выходные импульсы задающего генератора распределяются во времени и пространстве так, что каждый «квант» появляется в своё время и в своём пространственном канале.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РТС на n выходных каналов легко строится на сдвигающем n-разрядном регистре, замкнутом в кольцо. Для работы распределителя необходимо предварительно занести в регистр слово, содержащее одну единицу. При сдвигах единица перемещается с одного выхода на другой, циркулируя в кольце. Недостаток схемы – возможные нарушения функционирования при сбое. Если в силу каких-либо причин слово в регистре исказится, то возникшая ошибка станет постоянной. Схема не обладает свойством самовосстановления.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Возможны варианты РТС с самовосстановлением работы на кольцевом регистре. Схема такого распределителя с самовосстановлением за несколько тактов основана на том, что на вход регистра подаются нули, пока в нём имеется хотя бы одна единица. Таким образом, лишние возникшие единицы будут устранены. Когда регистр очистится, сформируется сигнал записи единицы на его входе. Таким образом, потеря единственной единицы будет исключена, а выход логического элемента, выполняющего самовосстановление схемы, образует ещё один дополнительный канал.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Распределители на кольцевых регистрах находят применение при малом числе выходных каналов. Достоинством распределителей на кольцевых регистрах является отсутствие в их структуре дешифраторов и, как следствие, высокое быстродействие (задержка перехода в новое состояние равна времени переключения триггера).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Альтернативный подход к построению РТС основан на использовании перекрёстной обратной связи (счётчик Джонсона, счётчик Мёбиуса, счётчик Ли-бау–Крейга). Счётчики Джонсона осуществляют счёт в коде Джонсона. Состояния счётчика представлены в таблице.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2926715" cy="2469515"/>
            <wp:effectExtent l="0" t="0" r="0" b="0"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71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Состояния счётчика Джонсона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 счётчике Джонсона выход представлен не в коде «1 из N», что требует преобразования кодов для получения выходов РТС, однако такие преобразователи просты, что обусловливает применение счётчиков Джонсона в составе распределителей тактовых сигналов.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Схемотехнически счётчик Джонсона – это сдвигающий регистр с перекрёстной обратной связью. Количество внутренних состояний 2n. Вариант реализации счётчика приведён на рисунке. Для получения нечётного числа состояний в схему дополнительно вводят связь, показанную на рисунке штриховой линией. При возникновении в счётчике комбинации 0111 на выходе элемента ИЛИ-НЕ появится логический нуль и счётчик перейдёт в состояние 1110, т. е. исключается состояние «все единицы». Этот вариант схемы не обладает свойством восстановления после попадания в запрещённые со- стояния и для правильной работы требует начального сброса.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898900" cy="2314575"/>
            <wp:effectExtent l="0" t="0" r="0" b="0"/>
            <wp:docPr id="2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Схема счётчика Джонсона без восстановления после сбоев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Указанного недостатка лишена схема счётчика Джонсона, в которой сигнал обратной связи вырабатывается согласно выражению</w:t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D</m:t>
            </m:r>
          </m:e>
          <m:sub>
            <m:r>
              <w:rPr>
                <w:rFonts w:ascii="Cambria Math" w:hAnsi="Cambria Math"/>
              </w:rPr>
              <m:t xml:space="preserve">R</m:t>
            </m:r>
          </m:sub>
        </m:sSub>
        <m:r>
          <w:rPr>
            <w:rFonts w:ascii="Cambria Math" w:hAnsi="Cambria Math"/>
          </w:rPr>
          <m:t xml:space="preserve">=</m:t>
        </m:r>
        <m:bar>
          <m:barPr>
            <m:pos m:val="top"/>
          </m:barPr>
          <m:e>
            <m:sSub>
              <m:e>
                <m:r>
                  <w:rPr>
                    <w:rFonts w:ascii="Cambria Math" w:hAnsi="Cambria Math"/>
                  </w:rPr>
                  <m:t xml:space="preserve">Q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bar>
        <m:r>
          <w:rPr>
            <w:rFonts w:ascii="Cambria Math" w:hAnsi="Cambria Math"/>
          </w:rPr>
          <m:t xml:space="preserve">+</m:t>
        </m:r>
        <m:bar>
          <m:barPr>
            <m:pos m:val="top"/>
          </m:barPr>
          <m:e>
            <m:sSub>
              <m:e>
                <m:r>
                  <w:rPr>
                    <w:rFonts w:ascii="Cambria Math" w:hAnsi="Cambria Math"/>
                  </w:rPr>
                  <m:t xml:space="preserve">Q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  <m:r>
              <w:rPr>
                <w:rFonts w:ascii="Cambria Math" w:hAnsi="Cambria Math"/>
              </w:rPr>
              <m:t xml:space="preserve">⋅</m:t>
            </m:r>
            <m:sSub>
              <m:e>
                <m:r>
                  <w:rPr>
                    <w:rFonts w:ascii="Cambria Math" w:hAnsi="Cambria Math"/>
                  </w:rPr>
                  <m:t xml:space="preserve">Q</m:t>
                </m:r>
              </m:e>
              <m:sub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3</m:t>
                </m:r>
              </m:sub>
            </m:sSub>
            <m:r>
              <w:rPr>
                <w:rFonts w:ascii="Cambria Math" w:hAnsi="Cambria Math"/>
              </w:rPr>
              <m:t xml:space="preserve">...</m:t>
            </m:r>
            <m:sSub>
              <m:e>
                <m:r>
                  <w:rPr>
                    <w:rFonts w:ascii="Cambria Math" w:hAnsi="Cambria Math"/>
                  </w:rPr>
                  <m:t xml:space="preserve">Q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</m:e>
        </m:bar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Q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Первое слагаемое отражает перекрёстную обратную связь, а второе – обеспечивает самовосстановление.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Вариант счётчика Джонсона, схема которого приведена на рисунке, также обладает свойством самовосстановления.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3545840" cy="3754755"/>
            <wp:effectExtent l="0" t="0" r="0" b="0"/>
            <wp:docPr id="3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3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Схема счётчика Джонсона с восстановлением после сбоев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Четырёхразрядный регистр реализован трёхразрядным, имеющим вход начальной установки, и дополнительном D-триггере. Инверсный выход триггера поступает на вход D_R, образуя перекрёстную обратную связь. Эффект самокоррекции заключается в том, что с помощью элемента «&amp;» выделяется комбинация 10 в старших разрядах и при её появлении принудительно устанавливаются в 0 все разряды, кроме старшего. Таким образом, счётчик оказывается в разрешённой комбинации и далее функционирует правильно. Очевидно, что дополнительный триггер может быть установлен и со стороны младших разрядов, выявляя комбинацию 01 с обнулением всех разрядов, кроме младшего.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Элемент «1» обеспечивает реализацию счётчика Джонсона с нечётным количеством состояний (2n – 1).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Преобразование выходного кода счетчика Джонсона в код «1 из N» осуществляется дешифратором Джонсона, схема которого приведена на рисунке.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5122545" cy="1259840"/>
            <wp:effectExtent l="0" t="0" r="0" b="0"/>
            <wp:docPr id="4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545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4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Дешифратор кода Джонсона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Принцип дешифрации состоит в выявлении положения характерной координаты временной диаграммы – границы между зонами единиц и нулей. Эти границы соответствуют закрашенным ячейкам таблицы.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2"/>
        <w:numPr>
          <w:ilvl w:val="1"/>
          <w:numId w:val="3"/>
        </w:numPr>
        <w:rPr/>
      </w:pPr>
      <w:bookmarkStart w:id="4" w:name="__RefHeading___Toc4336_7389959"/>
      <w:bookmarkEnd w:id="4"/>
      <w:r>
        <w:rPr/>
        <w:t>1.3. Задание на лабораторную работу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Часть 1. Синтезировать на основе имеющихся в библиотеке САПР Quartus II примитивов распределитель тактовых сигналов на основе сдвигающего регистра в соответствии с заданием, приведённым во второй строке таблицы. Расшифровка вариантов: первая цифра – количество выходных каналов, вторая: 1 – циркуляция единицы, 0 – циркуляция нуля.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Часть 2. Используя примитивы САПР Quartus II, синтезировать РТС на основе счётчика Джонсона в соответствии с заданием, приведённым в третьей строке таблицы.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Расшифровка вариантов: первая цифра: количество выходных каналов; вторая цифра: 1 – циркуляция единицы, 0 – циркуляция нуля; третья цифра: 1 – счётчик без восстановления, 2 – с самовосстановлением с перекрёстной обратной связью по выражению, 3 – с самовосстановлением, реализованным с дополнительным триггером.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1597025"/>
            <wp:effectExtent l="0" t="0" r="0" b="0"/>
            <wp:docPr id="5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5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Варианты заданий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2"/>
        <w:numPr>
          <w:ilvl w:val="1"/>
          <w:numId w:val="2"/>
        </w:numPr>
        <w:rPr/>
      </w:pPr>
      <w:bookmarkStart w:id="5" w:name="__RefHeading___Toc25638_1320847207"/>
      <w:bookmarkEnd w:id="5"/>
      <w:r>
        <w:rPr/>
        <w:t>1.4. Последовательность выполнения работы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1. Разработать функциональную схему РТС на основе сдвигающего регистра с самовосстановлением после сбоя в соответствии с заданием.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Подготовить проект в САПР Quartus II, реализовать схему РТС.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3. Выполнить функциональное моделирование схемы, убедиться в правильности её работы.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4. Повторить пп. 1–3 для РТС на основе счётчика Джонсона.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5. Добавить в проект счётчик понижающий частоту тактового сигнала. Выполнить компиляцию. Назначить контакты ПЛИС.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6. Загрузить проект на плату, наблюдать работу устройства в автоколебательном режиме.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4"/>
        </w:numPr>
        <w:rPr/>
      </w:pPr>
      <w:bookmarkStart w:id="6" w:name="__RefHeading___Toc338_311249038"/>
      <w:bookmarkEnd w:id="6"/>
      <w:r>
        <w:rPr/>
        <w:t>2. Ход работы</w:t>
      </w:r>
    </w:p>
    <w:p>
      <w:pPr>
        <w:pStyle w:val="2"/>
        <w:numPr>
          <w:ilvl w:val="1"/>
          <w:numId w:val="3"/>
        </w:numPr>
        <w:rPr/>
      </w:pPr>
      <w:bookmarkStart w:id="7" w:name="__RefHeading___Toc4340_7389959"/>
      <w:bookmarkEnd w:id="7"/>
      <w:r>
        <w:rPr/>
        <w:t>2.1. Синтез распределителя тактовых сигналов на основе сдвигающего регистра</w:t>
      </w:r>
    </w:p>
    <w:p>
      <w:pPr>
        <w:pStyle w:val="3"/>
        <w:numPr>
          <w:ilvl w:val="2"/>
          <w:numId w:val="2"/>
        </w:numPr>
        <w:rPr/>
      </w:pPr>
      <w:bookmarkStart w:id="8" w:name="__RefHeading___Toc25640_1320847207"/>
      <w:bookmarkEnd w:id="8"/>
      <w:r>
        <w:rPr/>
        <w:t>2.1.1. Вариант задания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Вариант задания приведён в таблице.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right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>. Таблица с заданием на синтез распределителя тактовых сигналов на основе сдвигающего регистра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3212"/>
        <w:gridCol w:w="3213"/>
        <w:gridCol w:w="3213"/>
      </w:tblGrid>
      <w:tr>
        <w:trPr/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Вариант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Количество выходных каналов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Циркуляция нуля/единицы</w:t>
            </w:r>
          </w:p>
        </w:tc>
      </w:tr>
      <w:tr>
        <w:trPr/>
        <w:tc>
          <w:tcPr>
            <w:tcW w:w="3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5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8</w:t>
            </w:r>
          </w:p>
        </w:tc>
        <w:tc>
          <w:tcPr>
            <w:tcW w:w="32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2"/>
        </w:numPr>
        <w:rPr/>
      </w:pPr>
      <w:bookmarkStart w:id="9" w:name="__RefHeading___Toc25642_1320847207"/>
      <w:bookmarkEnd w:id="9"/>
      <w:r>
        <w:rPr/>
        <w:t>2.1.2. Функциональная схема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Функциональная схема для распределителя тактовых сигналов на основе сдвигающего регистра.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2328545"/>
            <wp:effectExtent l="0" t="0" r="0" b="0"/>
            <wp:docPr id="6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6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схема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2"/>
        </w:numPr>
        <w:rPr/>
      </w:pPr>
      <w:bookmarkStart w:id="10" w:name="__RefHeading___Toc25644_1320847207"/>
      <w:bookmarkEnd w:id="10"/>
      <w:r>
        <w:rPr/>
        <w:t>2.1.3. Функциональное и временное моделирование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Функциональные и временные диаграммы для </w:t>
      </w:r>
      <w:r>
        <w:rPr>
          <w:b w:val="false"/>
          <w:bCs w:val="false"/>
        </w:rPr>
        <w:t>распределителя тактовых сигналов на основе сдвигающего регистра</w:t>
      </w:r>
      <w:r>
        <w:rPr/>
        <w:t>. На диаграммах демонстрируется его корректная работа, которая получается после первичной установки триггеров в состояния «1» и в один «0» (при отсутствии предустановки временные диаграммы не покажут работу, так как состояние триггеров будут не определены).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На диаграммах также демонстрируются ошибки, которые могли возникнуть в ходе работы </w:t>
      </w:r>
      <w:r>
        <w:rPr>
          <w:b w:val="false"/>
          <w:bCs w:val="false"/>
        </w:rPr>
        <w:t>распределителя тактовых сигналов на основе сдвигающего регистра: все «1», все «0», какие-либо сбои и помехи. Демонстрация ошибок создаётся асинхронной (принудительной) установкой триггеров в состояния «1» или «0», подавая сигнал «0» на инвертированные входы «PRN» и «CLRN» соответственно.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На диаграммах заметно, что </w:t>
      </w:r>
      <w:r>
        <w:rPr>
          <w:b w:val="false"/>
          <w:bCs w:val="false"/>
        </w:rPr>
        <w:t>распределитель тактовых сигналов на основе сдвигающего регистра самовосстанавливается по прошествие некоторого количества тактов, что наряду с корректной циркуляцией «0» подтверждает правильность выполнения работы.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Сигналы: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1. R_clrn – принудительная установка «0»;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R_prn – принудительная установка «1»;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3. C – синхроимпульс;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4. W_en – разрешение входа;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5. Q – выходной сигнал;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6. Q_out – выходной сигнал, при условии, что C = 0.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5396230" cy="6418580"/>
            <wp:effectExtent l="0" t="0" r="0" b="0"/>
            <wp:docPr id="7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64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7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распределителя тактовых сигналов на основе сдвигающего регистра (демонстрация корректной работы)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5360670" cy="6004560"/>
            <wp:effectExtent l="0" t="0" r="0" b="0"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8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распределителя тактовых сигналов на основе сдвигающего регистра (демонстрация восстановления после ошибки)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5374640" cy="6631305"/>
            <wp:effectExtent l="0" t="0" r="0" b="0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640" cy="663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9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распределителя тактовых сигналов на основе сдвигающего регистра (демонстрация восстановления после ошибки)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5353050" cy="6364605"/>
            <wp:effectExtent l="0" t="0" r="0" b="0"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636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bookmarkStart w:id="11" w:name="__DdeLink__1002_1251338387"/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10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 xml:space="preserve">. </w:t>
      </w:r>
      <w:bookmarkEnd w:id="11"/>
      <w:r>
        <w:rPr>
          <w:b w:val="false"/>
          <w:bCs w:val="false"/>
        </w:rPr>
        <w:t>Функциональная (сверху) и временная (снизу) диаграмма для распределителя тактовых сигналов на основе сдвигающего регистра (демонстрация восстановления после ошибок)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3"/>
        <w:numPr>
          <w:ilvl w:val="2"/>
          <w:numId w:val="2"/>
        </w:numPr>
        <w:rPr/>
      </w:pPr>
      <w:bookmarkStart w:id="12" w:name="__RefHeading___Toc25646_1320847207"/>
      <w:bookmarkEnd w:id="12"/>
      <w:r>
        <w:rPr/>
        <w:t>2.1.4. Макетное моделирование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Макетное моделирование для </w:t>
      </w:r>
      <w:r>
        <w:rPr>
          <w:b w:val="false"/>
          <w:bCs w:val="false"/>
        </w:rPr>
        <w:t>распределителя тактовых сигналов на основе сдвигающего регистра</w:t>
      </w:r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655060"/>
            <wp:effectExtent l="0" t="0" r="0" b="0"/>
            <wp:docPr id="11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11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655060"/>
            <wp:effectExtent l="0" t="0" r="0" b="0"/>
            <wp:docPr id="12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12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655060"/>
            <wp:effectExtent l="0" t="0" r="0" b="0"/>
            <wp:docPr id="13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13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655060"/>
            <wp:effectExtent l="0" t="0" r="0" b="0"/>
            <wp:docPr id="14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14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2"/>
        <w:numPr>
          <w:ilvl w:val="1"/>
          <w:numId w:val="3"/>
        </w:numPr>
        <w:rPr/>
      </w:pPr>
      <w:bookmarkStart w:id="13" w:name="__RefHeading___Toc12132_2067955445"/>
      <w:bookmarkEnd w:id="13"/>
      <w:r>
        <w:rPr/>
        <w:t>2.2. Синтез РТС на основе счётчика Джонсона</w:t>
      </w:r>
    </w:p>
    <w:p>
      <w:pPr>
        <w:pStyle w:val="3"/>
        <w:numPr>
          <w:ilvl w:val="2"/>
          <w:numId w:val="2"/>
        </w:numPr>
        <w:rPr/>
      </w:pPr>
      <w:bookmarkStart w:id="14" w:name="__RefHeading___Toc25648_1320847207"/>
      <w:bookmarkEnd w:id="14"/>
      <w:r>
        <w:rPr/>
        <w:t>2.2.1. Вариант задания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Вариант задания приведён в таблицах.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right"/>
        <w:rPr/>
      </w:pPr>
      <w:r>
        <w:rPr/>
        <w:t xml:space="preserve">Таблица </w:t>
      </w:r>
      <w:r>
        <w:rPr/>
        <w:fldChar w:fldCharType="begin"/>
      </w:r>
      <w:r>
        <w:rPr/>
        <w:instrText> SEQ Таблица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>. Таблица с заданием на синтез РТС на основе счётчика Джонсона</w:t>
      </w:r>
    </w:p>
    <w:tbl>
      <w:tblPr>
        <w:tblW w:w="9638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2" w:type="dxa"/>
          <w:bottom w:w="55" w:type="dxa"/>
          <w:right w:w="55" w:type="dxa"/>
        </w:tblCellMar>
      </w:tblPr>
      <w:tblGrid>
        <w:gridCol w:w="2409"/>
        <w:gridCol w:w="2410"/>
        <w:gridCol w:w="2410"/>
        <w:gridCol w:w="2408"/>
      </w:tblGrid>
      <w:tr>
        <w:trPr/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Вариант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Количество выходных каналов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Циркуляция нуля/единицы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Тип самовосстановления</w:t>
            </w:r>
          </w:p>
        </w:tc>
      </w:tr>
      <w:tr>
        <w:trPr/>
        <w:tc>
          <w:tcPr>
            <w:tcW w:w="24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5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8</w:t>
            </w:r>
          </w:p>
        </w:tc>
        <w:tc>
          <w:tcPr>
            <w:tcW w:w="241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0</w:t>
            </w:r>
          </w:p>
        </w:tc>
        <w:tc>
          <w:tcPr>
            <w:tcW w:w="24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22"/>
              <w:rPr/>
            </w:pPr>
            <w:r>
              <w:rPr/>
              <w:t>2 – с самовосстановлением перекрёстной обратной связью</w:t>
            </w:r>
          </w:p>
        </w:tc>
      </w:tr>
    </w:tbl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2"/>
        </w:numPr>
        <w:rPr/>
      </w:pPr>
      <w:bookmarkStart w:id="15" w:name="__RefHeading___Toc25650_1320847207"/>
      <w:bookmarkEnd w:id="15"/>
      <w:r>
        <w:rPr/>
        <w:t>2.2.2. Функциональная схема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Функциональная схема для РТС на основе счётчика Джонсона.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2328545"/>
            <wp:effectExtent l="0" t="0" r="0" b="0"/>
            <wp:docPr id="15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15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схема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3"/>
        <w:numPr>
          <w:ilvl w:val="2"/>
          <w:numId w:val="2"/>
        </w:numPr>
        <w:rPr/>
      </w:pPr>
      <w:bookmarkStart w:id="16" w:name="__RefHeading___Toc25652_1320847207"/>
      <w:bookmarkEnd w:id="16"/>
      <w:r>
        <w:rPr/>
        <w:t>2.2.3. Функциональное и временное моделирование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Функциональные и временные диаграммы для </w:t>
      </w:r>
      <w:r>
        <w:rPr>
          <w:b w:val="false"/>
          <w:bCs w:val="false"/>
        </w:rPr>
        <w:t>РТС на основе счётчика Джонсона</w:t>
      </w:r>
      <w:r>
        <w:rPr/>
        <w:t>. На диаграммах демонстрируется его корректная работа, которая получается после первичной установки триггеров в состояния «1» и в один «0» (при отсутствии предустановки временные диаграммы не покажут работу, так как состояние триггеров будут не определены).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На диаграммах также демонстрируются ошибки, которые могли возникнуть в ходе работы РТС на основе счётчика Джонсона</w:t>
      </w:r>
      <w:r>
        <w:rPr>
          <w:b w:val="false"/>
          <w:bCs w:val="false"/>
        </w:rPr>
        <w:t>: все «1», все «0», какие-либо сбои и помехи. Демонстрация ошибок создаётся асинхронной (принудительной) установкой триггеров в состояния «1» или «0», подавая сигнал «0» на инвертированные входы «PRN» и «CLRN» соответственно.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На диаграммах заметно, что РТС на основе счётчика Джонсона </w:t>
      </w:r>
      <w:r>
        <w:rPr>
          <w:b w:val="false"/>
          <w:bCs w:val="false"/>
        </w:rPr>
        <w:t>самовосстанавливается (с помощью перекрёстной обратной связи) по прошествие некоторого количества тактов, что наряду с корректной «плавной» циркуляцией подтверждает правильность выполнения работы. Для счётчика Джонсона не заметна разница между циркуляцией «0» и циркуляцией «1», так как переход происходит постепенно.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Сигналы: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1. R_clrn – принудительная установка «0»;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R_prn – принудительная установка «1»;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3. C – синхроимпульс;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4. W_en – разрешение входа;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5. Q – выходной сигнал;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6. Q_out – выходной сигнал, при условии, что C = 0.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5360670" cy="6624320"/>
            <wp:effectExtent l="0" t="0" r="0" b="0"/>
            <wp:docPr id="1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662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16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РТС на основе счётчика Джонсона (демонстрация корректной работы)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5360670" cy="6508750"/>
            <wp:effectExtent l="0" t="0" r="0" b="0"/>
            <wp:docPr id="1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650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17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РТС на основе счётчика Джонсона (демонстрация восстановления после ошибки)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5360670" cy="6504940"/>
            <wp:effectExtent l="0" t="0" r="0" b="0"/>
            <wp:docPr id="1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650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18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Функциональная (сверху) и временная (снизу) диаграмма для РТС на основе счётчика Джонсона (демонстрация восстановления после ошибки)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5363845" cy="6476365"/>
            <wp:effectExtent l="0" t="0" r="0" b="0"/>
            <wp:docPr id="19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845" cy="647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bookmarkStart w:id="17" w:name="__DdeLink__1002_12513383871"/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19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 xml:space="preserve">. </w:t>
      </w:r>
      <w:bookmarkEnd w:id="17"/>
      <w:r>
        <w:rPr>
          <w:b w:val="false"/>
          <w:bCs w:val="false"/>
        </w:rPr>
        <w:t>Функциональная (сверху) и временная (снизу) диаграмма для РТС на основе счётчика Джонсона (демонстрация восстановления после ошибок)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5360670" cy="6569710"/>
            <wp:effectExtent l="0" t="0" r="0" b="0"/>
            <wp:docPr id="20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670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bookmarkStart w:id="18" w:name="__DdeLink__1002_12513383872"/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20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 xml:space="preserve">. </w:t>
      </w:r>
      <w:bookmarkEnd w:id="18"/>
      <w:r>
        <w:rPr>
          <w:b w:val="false"/>
          <w:bCs w:val="false"/>
        </w:rPr>
        <w:t>Функциональная (сверху) и временная (снизу) диаграмма для РТС на основе счётчика Джонсона (демонстрация восстановления после ошибок)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3"/>
        <w:numPr>
          <w:ilvl w:val="2"/>
          <w:numId w:val="2"/>
        </w:numPr>
        <w:rPr/>
      </w:pPr>
      <w:bookmarkStart w:id="19" w:name="__RefHeading___Toc25654_1320847207"/>
      <w:bookmarkEnd w:id="19"/>
      <w:r>
        <w:rPr/>
        <w:t>2.2.4. Макетное моделирование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Макетное моделирование для </w:t>
      </w:r>
      <w:r>
        <w:rPr>
          <w:b w:val="false"/>
          <w:bCs w:val="false"/>
        </w:rPr>
        <w:t>РТС на основе счётчика Джонсона</w:t>
      </w:r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655060"/>
            <wp:effectExtent l="0" t="0" r="0" b="0"/>
            <wp:docPr id="21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21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655060"/>
            <wp:effectExtent l="0" t="0" r="0" b="0"/>
            <wp:docPr id="22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22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655060"/>
            <wp:effectExtent l="0" t="0" r="0" b="0"/>
            <wp:docPr id="23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23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/>
        <w:drawing>
          <wp:inline distT="0" distB="0" distL="0" distR="0">
            <wp:extent cx="6120130" cy="3655060"/>
            <wp:effectExtent l="0" t="0" r="0" b="0"/>
            <wp:docPr id="24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7"/>
        <w:numPr>
          <w:ilvl w:val="0"/>
          <w:numId w:val="0"/>
        </w:numPr>
        <w:ind w:left="0" w:right="0" w:hanging="0"/>
        <w:jc w:val="center"/>
        <w:rPr/>
      </w:pPr>
      <w:r>
        <w:rPr>
          <w:b w:val="false"/>
          <w:bCs w:val="false"/>
        </w:rPr>
        <w:t xml:space="preserve">Рисунок </w:t>
      </w:r>
      <w:r>
        <w:rPr>
          <w:b w:val="false"/>
          <w:bCs w:val="false"/>
        </w:rPr>
        <w:fldChar w:fldCharType="begin"/>
      </w:r>
      <w:r>
        <w:rPr>
          <w:b w:val="false"/>
          <w:bCs w:val="false"/>
        </w:rPr>
        <w:instrText> SEQ Рисунок \* ARABIC </w:instrText>
      </w:r>
      <w:r>
        <w:rPr>
          <w:b w:val="false"/>
          <w:bCs w:val="false"/>
        </w:rPr>
        <w:fldChar w:fldCharType="separate"/>
      </w:r>
      <w:r>
        <w:rPr>
          <w:b w:val="false"/>
          <w:bCs w:val="false"/>
        </w:rPr>
        <w:t>24</w:t>
      </w:r>
      <w:r>
        <w:rPr>
          <w:b w:val="false"/>
          <w:bCs w:val="false"/>
        </w:rPr>
        <w:fldChar w:fldCharType="end"/>
      </w:r>
      <w:r>
        <w:rPr>
          <w:b w:val="false"/>
          <w:bCs w:val="false"/>
        </w:rPr>
        <w:t>. «Распиновка» для макетного моделирования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4"/>
        </w:numPr>
        <w:rPr/>
      </w:pPr>
      <w:bookmarkStart w:id="20" w:name="__RefHeading___Toc358_311249038"/>
      <w:bookmarkEnd w:id="20"/>
      <w:r>
        <w:rPr/>
        <w:t>3. Вывод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В ходе выполнения лабораторной работы №6 «</w:t>
      </w:r>
      <w:bookmarkStart w:id="21" w:name="__DdeLink__10522_7389959"/>
      <w:bookmarkStart w:id="22" w:name="__DdeLink__40860_3602482805"/>
      <w:r>
        <w:rPr/>
        <w:t>Проектирование распределителей тактовых сигналов</w:t>
      </w:r>
      <w:bookmarkEnd w:id="21"/>
      <w:bookmarkEnd w:id="22"/>
      <w:r>
        <w:rPr/>
        <w:t>» были исследованы особенности функционирования и проектирования распределителей тактовых сигналов, которые были построены на сдвигающих регистрах и счётчиках Джонсона. Также была рассмотрена и изучена суть РТС, в том числе РТС на счётчиках Джонсона с перекрёстной обратной связью, позволяющей реагировать на ошибки и исправлять их. В ходе работы были составлены функциональные схемы РТС на основе D-триггеров, в которых происходила циркуляция «0» и которые являются самовосстанавливающимися, составлены временные диаграммы, отражавшие их суть работы и их реакцию на симуляцию ошибки (асинхронная установка «1» или «0» соответственно), произведена «распиновка» для макетного моделирования РТС. Таким образом и были исследованы особенности функционирования распределителей тактовых сигналов, построенных на сдвигающих регистрах и счётчиках Джонсона.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  <w:r>
        <w:br w:type="page"/>
      </w:r>
    </w:p>
    <w:p>
      <w:pPr>
        <w:pStyle w:val="1"/>
        <w:numPr>
          <w:ilvl w:val="0"/>
          <w:numId w:val="4"/>
        </w:numPr>
        <w:rPr/>
      </w:pPr>
      <w:bookmarkStart w:id="23" w:name="__RefHeading___Toc360_311249038"/>
      <w:bookmarkEnd w:id="23"/>
      <w:r>
        <w:rPr/>
        <w:t>4. Список использованных источников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 xml:space="preserve">1. Онлайн-курс «Элементная база цифровых систем» в LMS Moodle [сайт]. URL: </w:t>
      </w:r>
      <w:hyperlink r:id="rId26">
        <w:r>
          <w:rPr>
            <w:rStyle w:val="Style10"/>
          </w:rPr>
          <w:t>https://vec.etu.ru/moodle/course/view.php?id=8252</w:t>
        </w:r>
      </w:hyperlink>
      <w:r>
        <w:rPr/>
        <w:t>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  <w:tab/>
        <w:t>2. Бондаренко П. Н., Буренева О. И., Головина Л. К. / Узлы и устройства средств вычислительной техники: учеб.-метод. пособие. СПб.: Изд-во СПбГЭТУ «ЛЭТИ», 2017. 64 с.</w:t>
      </w:r>
    </w:p>
    <w:p>
      <w:pPr>
        <w:pStyle w:val="Style17"/>
        <w:numPr>
          <w:ilvl w:val="0"/>
          <w:numId w:val="0"/>
        </w:numPr>
        <w:ind w:left="0" w:right="0" w:hanging="0"/>
        <w:jc w:val="both"/>
        <w:rPr/>
      </w:pPr>
      <w:r>
        <w:rPr/>
      </w:r>
    </w:p>
    <w:sectPr>
      <w:footerReference w:type="default" r:id="rId27"/>
      <w:footerReference w:type="first" r:id="rId28"/>
      <w:type w:val="nextPage"/>
      <w:pgSz w:w="11906" w:h="16838"/>
      <w:pgMar w:left="1134" w:right="1134" w:header="0" w:top="1134" w:footer="1134" w:bottom="2223" w:gutter="0"/>
      <w:pgNumType w:fmt="decimal"/>
      <w:formProt w:val="false"/>
      <w:titlePg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29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1"/>
      <w:rPr/>
    </w:pPr>
    <w:r>
      <w:rPr/>
      <w:t>Санкт-Петербург,</w:t>
    </w:r>
  </w:p>
  <w:p>
    <w:pPr>
      <w:pStyle w:val="Style21"/>
      <w:rPr/>
    </w:pPr>
    <w:r>
      <w:rPr/>
      <w:t>2022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2"/>
      <w:numFmt w:val="none"/>
      <w:suff w:val="nothing"/>
      <w:lvlText w:val=""/>
      <w:lvlJc w:val="left"/>
      <w:pPr>
        <w:ind w:left="0" w:hanging="0"/>
      </w:pPr>
    </w:lvl>
    <w:lvl w:ilvl="2">
      <w:start w:val="1"/>
      <w:pStyle w:val="3"/>
      <w:numFmt w:val="none"/>
      <w:suff w:val="nothing"/>
      <w:lvlText w:val=""/>
      <w:lvlJc w:val="left"/>
      <w:pPr>
        <w:ind w:left="0" w:hanging="0"/>
      </w:pPr>
    </w:lvl>
    <w:lvl w:ilvl="3">
      <w:start w:val="1"/>
      <w:pStyle w:val="4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10"/>
  <w:defaultTabStop w:val="708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ial Unicode MS" w:cs="Arial Unicode MS"/>
        <w:kern w:val="2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Arial Unicode MS" w:cs="Arial Unicode MS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16"/>
    <w:qFormat/>
    <w:pPr>
      <w:numPr>
        <w:ilvl w:val="0"/>
        <w:numId w:val="1"/>
      </w:numPr>
      <w:spacing w:lineRule="auto" w:line="360" w:before="0" w:after="0"/>
      <w:outlineLvl w:val="0"/>
    </w:pPr>
    <w:rPr>
      <w:rFonts w:ascii="Times New Roman" w:hAnsi="Times New Roman"/>
      <w:b/>
      <w:bCs/>
      <w:sz w:val="36"/>
      <w:szCs w:val="36"/>
    </w:rPr>
  </w:style>
  <w:style w:type="paragraph" w:styleId="2">
    <w:name w:val="Heading 2"/>
    <w:basedOn w:val="Style16"/>
    <w:qFormat/>
    <w:pPr>
      <w:numPr>
        <w:ilvl w:val="1"/>
        <w:numId w:val="1"/>
      </w:numPr>
      <w:spacing w:lineRule="auto" w:line="360" w:before="0" w:after="0"/>
      <w:outlineLvl w:val="1"/>
    </w:pPr>
    <w:rPr>
      <w:rFonts w:ascii="Times New Roman" w:hAnsi="Times New Roman"/>
      <w:b/>
      <w:bCs/>
      <w:sz w:val="32"/>
      <w:szCs w:val="32"/>
    </w:rPr>
  </w:style>
  <w:style w:type="paragraph" w:styleId="3">
    <w:name w:val="Heading 3"/>
    <w:basedOn w:val="Style16"/>
    <w:qFormat/>
    <w:pPr>
      <w:numPr>
        <w:ilvl w:val="2"/>
        <w:numId w:val="1"/>
      </w:numPr>
      <w:spacing w:lineRule="auto" w:line="360" w:before="0" w:after="0"/>
      <w:outlineLvl w:val="2"/>
    </w:pPr>
    <w:rPr>
      <w:rFonts w:ascii="Times New Roman" w:hAnsi="Times New Roman"/>
      <w:b/>
      <w:bCs/>
      <w:sz w:val="28"/>
      <w:szCs w:val="28"/>
    </w:rPr>
  </w:style>
  <w:style w:type="paragraph" w:styleId="4">
    <w:name w:val="Heading 4"/>
    <w:basedOn w:val="Style16"/>
    <w:qFormat/>
    <w:pPr>
      <w:numPr>
        <w:ilvl w:val="3"/>
        <w:numId w:val="1"/>
      </w:numPr>
      <w:spacing w:lineRule="auto" w:line="360" w:before="0" w:after="0"/>
      <w:outlineLvl w:val="3"/>
    </w:pPr>
    <w:rPr>
      <w:rFonts w:ascii="Times New Roman" w:hAnsi="Times New Roman"/>
      <w:b/>
      <w:bCs/>
      <w:i w:val="false"/>
      <w:iCs/>
      <w:sz w:val="27"/>
      <w:szCs w:val="27"/>
    </w:rPr>
  </w:style>
  <w:style w:type="character" w:styleId="Style10">
    <w:name w:val="Интернет-ссылка"/>
    <w:rPr>
      <w:color w:val="000080"/>
      <w:u w:val="single"/>
      <w:lang w:val="zxx" w:eastAsia="zxx" w:bidi="zxx"/>
    </w:rPr>
  </w:style>
  <w:style w:type="character" w:styleId="Style11">
    <w:name w:val="Ссылка указателя"/>
    <w:qFormat/>
    <w:rPr/>
  </w:style>
  <w:style w:type="character" w:styleId="ListLabel1">
    <w:name w:val="ListLabel 1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2">
    <w:name w:val="ListLabel 2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3">
    <w:name w:val="ListLabel 3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4">
    <w:name w:val="ListLabel 4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5">
    <w:name w:val="ListLabel 5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6">
    <w:name w:val="ListLabel 6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7">
    <w:name w:val="ListLabel 7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8">
    <w:name w:val="ListLabel 8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9">
    <w:name w:val="ListLabel 9"/>
    <w:qFormat/>
    <w:rPr>
      <w:rFonts w:eastAsia="Arial Unicode MS" w:cs="Arial Unicode MS"/>
      <w:color w:val="auto"/>
      <w:kern w:val="2"/>
      <w:sz w:val="28"/>
      <w:szCs w:val="24"/>
      <w:lang w:val="ru-RU" w:eastAsia="zh-CN" w:bidi="hi-IN"/>
    </w:rPr>
  </w:style>
  <w:style w:type="character" w:styleId="ListLabel10">
    <w:name w:val="ListLabel 10"/>
    <w:qFormat/>
    <w:rPr/>
  </w:style>
  <w:style w:type="character" w:styleId="ListLabel11">
    <w:name w:val="ListLabel 11"/>
    <w:qFormat/>
    <w:rPr/>
  </w:style>
  <w:style w:type="character" w:styleId="Style12">
    <w:name w:val="Маркеры списка"/>
    <w:qFormat/>
    <w:rPr>
      <w:rFonts w:ascii="OpenSymbol" w:hAnsi="OpenSymbol" w:eastAsia="OpenSymbol" w:cs="OpenSymbol"/>
    </w:rPr>
  </w:style>
  <w:style w:type="character" w:styleId="ListLabel12">
    <w:name w:val="ListLabel 12"/>
    <w:qFormat/>
    <w:rPr/>
  </w:style>
  <w:style w:type="character" w:styleId="ListLabel13">
    <w:name w:val="ListLabel 13"/>
    <w:qFormat/>
    <w:rPr/>
  </w:style>
  <w:style w:type="character" w:styleId="ListLabel14">
    <w:name w:val="ListLabel 14"/>
    <w:qFormat/>
    <w:rPr/>
  </w:style>
  <w:style w:type="character" w:styleId="Style13">
    <w:name w:val="Выделение жирным"/>
    <w:qFormat/>
    <w:rPr>
      <w:b/>
      <w:bCs/>
    </w:rPr>
  </w:style>
  <w:style w:type="character" w:styleId="Style14">
    <w:name w:val="Выделение"/>
    <w:qFormat/>
    <w:rPr>
      <w:i/>
      <w:iCs/>
    </w:rPr>
  </w:style>
  <w:style w:type="character" w:styleId="ListLabel15">
    <w:name w:val="ListLabel 15"/>
    <w:qFormat/>
    <w:rPr/>
  </w:style>
  <w:style w:type="character" w:styleId="ListLabel16">
    <w:name w:val="ListLabel 16"/>
    <w:qFormat/>
    <w:rPr/>
  </w:style>
  <w:style w:type="character" w:styleId="ListLabel17">
    <w:name w:val="ListLabel 17"/>
    <w:qFormat/>
    <w:rPr/>
  </w:style>
  <w:style w:type="character" w:styleId="ListLabel18">
    <w:name w:val="ListLabel 18"/>
    <w:qFormat/>
    <w:rPr/>
  </w:style>
  <w:style w:type="character" w:styleId="ListLabel19">
    <w:name w:val="ListLabel 19"/>
    <w:qFormat/>
    <w:rPr/>
  </w:style>
  <w:style w:type="character" w:styleId="ListLabel20">
    <w:name w:val="ListLabel 20"/>
    <w:qFormat/>
    <w:rPr/>
  </w:style>
  <w:style w:type="character" w:styleId="ListLabel21">
    <w:name w:val="ListLabel 21"/>
    <w:qFormat/>
    <w:rPr/>
  </w:style>
  <w:style w:type="character" w:styleId="ListLabel22">
    <w:name w:val="ListLabel 22"/>
    <w:qFormat/>
    <w:rPr/>
  </w:style>
  <w:style w:type="character" w:styleId="ListLabel23">
    <w:name w:val="ListLabel 23"/>
    <w:qFormat/>
    <w:rPr/>
  </w:style>
  <w:style w:type="character" w:styleId="ListLabel24">
    <w:name w:val="ListLabel 24"/>
    <w:qFormat/>
    <w:rPr/>
  </w:style>
  <w:style w:type="character" w:styleId="ListLabel25">
    <w:name w:val="ListLabel 25"/>
    <w:qFormat/>
    <w:rPr/>
  </w:style>
  <w:style w:type="character" w:styleId="ListLabel26">
    <w:name w:val="ListLabel 26"/>
    <w:qFormat/>
    <w:rPr/>
  </w:style>
  <w:style w:type="character" w:styleId="Style15">
    <w:name w:val="Посещённая гиперссылка"/>
    <w:rPr>
      <w:color w:val="800000"/>
      <w:u w:val="single"/>
      <w:lang w:val="zxx" w:eastAsia="zxx" w:bidi="zxx"/>
    </w:rPr>
  </w:style>
  <w:style w:type="character" w:styleId="ListLabel27">
    <w:name w:val="ListLabel 27"/>
    <w:qFormat/>
    <w:rPr/>
  </w:style>
  <w:style w:type="character" w:styleId="ListLabel28">
    <w:name w:val="ListLabel 28"/>
    <w:qFormat/>
    <w:rPr/>
  </w:style>
  <w:style w:type="character" w:styleId="ListLabel29">
    <w:name w:val="ListLabel 29"/>
    <w:qFormat/>
    <w:rPr/>
  </w:style>
  <w:style w:type="character" w:styleId="ListLabel30">
    <w:name w:val="ListLabel 30"/>
    <w:qFormat/>
    <w:rPr/>
  </w:style>
  <w:style w:type="character" w:styleId="ListLabel31">
    <w:name w:val="ListLabel 31"/>
    <w:qFormat/>
    <w:rPr/>
  </w:style>
  <w:style w:type="character" w:styleId="ListLabel32">
    <w:name w:val="ListLabel 32"/>
    <w:qFormat/>
    <w:rPr/>
  </w:style>
  <w:style w:type="character" w:styleId="ListLabel33">
    <w:name w:val="ListLabel 33"/>
    <w:qFormat/>
    <w:rPr/>
  </w:style>
  <w:style w:type="character" w:styleId="ListLabel34">
    <w:name w:val="ListLabel 34"/>
    <w:qFormat/>
    <w:rPr/>
  </w:style>
  <w:style w:type="character" w:styleId="ListLabel35">
    <w:name w:val="ListLabel 35"/>
    <w:qFormat/>
    <w:rPr/>
  </w:style>
  <w:style w:type="character" w:styleId="ListLabel36">
    <w:name w:val="ListLabel 36"/>
    <w:qFormat/>
    <w:rPr/>
  </w:style>
  <w:style w:type="character" w:styleId="ListLabel37">
    <w:name w:val="ListLabel 37"/>
    <w:qFormat/>
    <w:rPr/>
  </w:style>
  <w:style w:type="character" w:styleId="ListLabel38">
    <w:name w:val="ListLabel 38"/>
    <w:qFormat/>
    <w:rPr/>
  </w:style>
  <w:style w:type="character" w:styleId="ListLabel39">
    <w:name w:val="ListLabel 39"/>
    <w:qFormat/>
    <w:rPr/>
  </w:style>
  <w:style w:type="character" w:styleId="ListLabel40">
    <w:name w:val="ListLabel 40"/>
    <w:qFormat/>
    <w:rPr/>
  </w:style>
  <w:style w:type="character" w:styleId="DefaultParagraphFont">
    <w:name w:val="Default Paragraph Font"/>
    <w:qFormat/>
    <w:rPr/>
  </w:style>
  <w:style w:type="character" w:styleId="ListLabel41">
    <w:name w:val="ListLabel 41"/>
    <w:qFormat/>
    <w:rPr/>
  </w:style>
  <w:style w:type="character" w:styleId="ListLabel42">
    <w:name w:val="ListLabel 42"/>
    <w:qFormat/>
    <w:rPr/>
  </w:style>
  <w:style w:type="character" w:styleId="ListLabel43">
    <w:name w:val="ListLabel 43"/>
    <w:qFormat/>
    <w:rPr/>
  </w:style>
  <w:style w:type="character" w:styleId="ListLabel44">
    <w:name w:val="ListLabel 44"/>
    <w:qFormat/>
    <w:rPr/>
  </w:style>
  <w:style w:type="character" w:styleId="ListLabel45">
    <w:name w:val="ListLabel 45"/>
    <w:qFormat/>
    <w:rPr/>
  </w:style>
  <w:style w:type="character" w:styleId="ListLabel46">
    <w:name w:val="ListLabel 46"/>
    <w:qFormat/>
    <w:rPr/>
  </w:style>
  <w:style w:type="character" w:styleId="ListLabel47">
    <w:name w:val="ListLabel 47"/>
    <w:qFormat/>
    <w:rPr/>
  </w:style>
  <w:style w:type="character" w:styleId="ListLabel48">
    <w:name w:val="ListLabel 48"/>
    <w:qFormat/>
    <w:rPr/>
  </w:style>
  <w:style w:type="character" w:styleId="ListLabel49">
    <w:name w:val="ListLabel 49"/>
    <w:qFormat/>
    <w:rPr/>
  </w:style>
  <w:style w:type="character" w:styleId="ListLabel50">
    <w:name w:val="ListLabel 50"/>
    <w:qFormat/>
    <w:rPr/>
  </w:style>
  <w:style w:type="character" w:styleId="ListLabel51">
    <w:name w:val="ListLabel 51"/>
    <w:qFormat/>
    <w:rPr/>
  </w:style>
  <w:style w:type="character" w:styleId="ListLabel52">
    <w:name w:val="ListLabel 52"/>
    <w:qFormat/>
    <w:rPr/>
  </w:style>
  <w:style w:type="character" w:styleId="ListLabel53">
    <w:name w:val="ListLabel 53"/>
    <w:qFormat/>
    <w:rPr/>
  </w:style>
  <w:style w:type="character" w:styleId="ListLabel54">
    <w:name w:val="ListLabel 54"/>
    <w:qFormat/>
    <w:rPr/>
  </w:style>
  <w:style w:type="character" w:styleId="ListLabel55">
    <w:name w:val="ListLabel 55"/>
    <w:qFormat/>
    <w:rPr/>
  </w:style>
  <w:style w:type="character" w:styleId="ListLabel56">
    <w:name w:val="ListLabel 56"/>
    <w:qFormat/>
    <w:rPr/>
  </w:style>
  <w:style w:type="character" w:styleId="ListLabel57">
    <w:name w:val="ListLabel 57"/>
    <w:qFormat/>
    <w:rPr/>
  </w:style>
  <w:style w:type="character" w:styleId="ListLabel58">
    <w:name w:val="ListLabel 58"/>
    <w:qFormat/>
    <w:rPr/>
  </w:style>
  <w:style w:type="character" w:styleId="ListLabel59">
    <w:name w:val="ListLabel 59"/>
    <w:qFormat/>
    <w:rPr/>
  </w:style>
  <w:style w:type="paragraph" w:styleId="Style16">
    <w:name w:val="Заголовок"/>
    <w:basedOn w:val="Normal"/>
    <w:next w:val="Style17"/>
    <w:qFormat/>
    <w:pPr>
      <w:keepNext w:val="true"/>
      <w:spacing w:before="240" w:after="120"/>
    </w:pPr>
    <w:rPr>
      <w:rFonts w:ascii="Liberation Sans" w:hAnsi="Liberation Sans" w:eastAsia="Arial Unicode MS" w:cs="Arial Unicode MS"/>
      <w:sz w:val="28"/>
      <w:szCs w:val="28"/>
    </w:rPr>
  </w:style>
  <w:style w:type="paragraph" w:styleId="Style17">
    <w:name w:val="Body Text"/>
    <w:basedOn w:val="Normal"/>
    <w:pPr>
      <w:spacing w:lineRule="auto" w:line="360" w:before="0" w:after="0"/>
      <w:ind w:left="0" w:right="0" w:hanging="0"/>
      <w:jc w:val="both"/>
    </w:pPr>
    <w:rPr>
      <w:rFonts w:ascii="Times New Roman" w:hAnsi="Times New Roman" w:eastAsia="Arial Unicode MS" w:cs="Arial Unicode MS"/>
      <w:color w:val="auto"/>
      <w:kern w:val="2"/>
      <w:sz w:val="28"/>
      <w:szCs w:val="24"/>
      <w:lang w:val="ru-RU" w:eastAsia="zh-CN" w:bidi="hi-IN"/>
    </w:rPr>
  </w:style>
  <w:style w:type="paragraph" w:styleId="Style18">
    <w:name w:val="List"/>
    <w:basedOn w:val="Style17"/>
    <w:pPr/>
    <w:rPr/>
  </w:style>
  <w:style w:type="paragraph" w:styleId="Style19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/>
  </w:style>
  <w:style w:type="paragraph" w:styleId="Style21">
    <w:name w:val="Footer"/>
    <w:basedOn w:val="Normal"/>
    <w:pPr>
      <w:suppressLineNumbers/>
      <w:tabs>
        <w:tab w:val="center" w:pos="4819" w:leader="none"/>
        <w:tab w:val="right" w:pos="9638" w:leader="none"/>
      </w:tabs>
      <w:spacing w:lineRule="auto" w:line="360"/>
      <w:jc w:val="center"/>
    </w:pPr>
    <w:rPr>
      <w:rFonts w:ascii="Times New Roman" w:hAnsi="Times New Roman"/>
      <w:sz w:val="28"/>
    </w:rPr>
  </w:style>
  <w:style w:type="paragraph" w:styleId="Style22">
    <w:name w:val="Содержимое таблицы"/>
    <w:basedOn w:val="Normal"/>
    <w:qFormat/>
    <w:pPr>
      <w:suppressLineNumbers/>
      <w:jc w:val="center"/>
    </w:pPr>
    <w:rPr>
      <w:rFonts w:ascii="Times New Roman" w:hAnsi="Times New Roman"/>
      <w:sz w:val="28"/>
    </w:rPr>
  </w:style>
  <w:style w:type="paragraph" w:styleId="TOAHeading">
    <w:name w:val="TOA Heading"/>
    <w:basedOn w:val="Style16"/>
    <w:qFormat/>
    <w:pPr>
      <w:suppressLineNumbers/>
      <w:spacing w:lineRule="auto" w:line="360" w:before="0" w:after="0"/>
      <w:ind w:left="0" w:hanging="0"/>
    </w:pPr>
    <w:rPr>
      <w:rFonts w:ascii="Times New Roman" w:hAnsi="Times New Roman"/>
      <w:b/>
      <w:bCs/>
      <w:sz w:val="32"/>
      <w:szCs w:val="32"/>
    </w:rPr>
  </w:style>
  <w:style w:type="paragraph" w:styleId="11">
    <w:name w:val="TOC 1"/>
    <w:basedOn w:val="Style20"/>
    <w:pPr>
      <w:tabs>
        <w:tab w:val="right" w:pos="9638" w:leader="dot"/>
      </w:tabs>
      <w:spacing w:lineRule="auto" w:line="360"/>
      <w:ind w:left="0" w:hanging="0"/>
    </w:pPr>
    <w:rPr>
      <w:rFonts w:ascii="Times New Roman" w:hAnsi="Times New Roman"/>
      <w:sz w:val="28"/>
    </w:rPr>
  </w:style>
  <w:style w:type="paragraph" w:styleId="TableofFigures">
    <w:name w:val="Table of Figures"/>
    <w:basedOn w:val="Style19"/>
    <w:qFormat/>
    <w:pPr>
      <w:spacing w:before="0" w:after="0"/>
      <w:jc w:val="center"/>
    </w:pPr>
    <w:rPr>
      <w:rFonts w:ascii="Times New Roman" w:hAnsi="Times New Roman"/>
      <w:i w:val="false"/>
    </w:rPr>
  </w:style>
  <w:style w:type="paragraph" w:styleId="21">
    <w:name w:val="TOC 2"/>
    <w:basedOn w:val="Style20"/>
    <w:pPr>
      <w:tabs>
        <w:tab w:val="right" w:pos="9355" w:leader="dot"/>
      </w:tabs>
      <w:spacing w:lineRule="auto" w:line="360"/>
      <w:ind w:left="283" w:hanging="0"/>
    </w:pPr>
    <w:rPr>
      <w:rFonts w:ascii="Times New Roman" w:hAnsi="Times New Roman"/>
    </w:rPr>
  </w:style>
  <w:style w:type="paragraph" w:styleId="Style23">
    <w:name w:val="Содержимое врезки"/>
    <w:basedOn w:val="Normal"/>
    <w:qFormat/>
    <w:pPr/>
    <w:rPr/>
  </w:style>
  <w:style w:type="paragraph" w:styleId="31">
    <w:name w:val="TOC 3"/>
    <w:basedOn w:val="Style20"/>
    <w:pPr>
      <w:tabs>
        <w:tab w:val="right" w:pos="9072" w:leader="dot"/>
      </w:tabs>
      <w:spacing w:lineRule="auto" w:line="360"/>
      <w:ind w:left="566" w:hanging="0"/>
    </w:pPr>
    <w:rPr>
      <w:rFonts w:ascii="Times New Roman" w:hAnsi="Times New Roman"/>
    </w:rPr>
  </w:style>
  <w:style w:type="paragraph" w:styleId="Style24">
    <w:name w:val="Заголовок таблицы"/>
    <w:basedOn w:val="Style22"/>
    <w:qFormat/>
    <w:pPr>
      <w:suppressLineNumbers/>
      <w:jc w:val="center"/>
    </w:pPr>
    <w:rPr>
      <w:b/>
      <w:bCs/>
    </w:rPr>
  </w:style>
  <w:style w:type="paragraph" w:styleId="Style25">
    <w:name w:val="Блочная цитата"/>
    <w:basedOn w:val="Normal"/>
    <w:qFormat/>
    <w:pPr>
      <w:spacing w:before="0" w:after="283"/>
      <w:ind w:left="567" w:right="567" w:hanging="0"/>
    </w:pPr>
    <w:rPr/>
  </w:style>
  <w:style w:type="paragraph" w:styleId="41">
    <w:name w:val="TOC 4"/>
    <w:basedOn w:val="Style20"/>
    <w:pPr>
      <w:tabs>
        <w:tab w:val="right" w:pos="8789" w:leader="dot"/>
      </w:tabs>
      <w:ind w:left="849" w:hanging="0"/>
    </w:pPr>
    <w:rPr/>
  </w:style>
  <w:style w:type="paragraph" w:styleId="DocumentMap">
    <w:name w:val="DocumentMap"/>
    <w:qFormat/>
    <w:pPr>
      <w:widowControl/>
      <w:bidi w:val="0"/>
      <w:spacing w:lineRule="auto" w:line="252" w:before="0" w:after="160"/>
      <w:jc w:val="left"/>
      <w:textAlignment w:val="auto"/>
    </w:pPr>
    <w:rPr>
      <w:rFonts w:ascii="Calibri" w:hAnsi="Calibri" w:eastAsia="Calibri" w:cs="Times New Roman"/>
      <w:color w:val="auto"/>
      <w:kern w:val="2"/>
      <w:sz w:val="22"/>
      <w:szCs w:val="22"/>
      <w:lang w:val="ru-RU" w:eastAsia="en-US" w:bidi="ar-SA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hyperlink" Target="https://vec.etu.ru/moodle/course/view.php?id=8252" TargetMode="External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numbering" Target="numbering.xml"/><Relationship Id="rId30" Type="http://schemas.openxmlformats.org/officeDocument/2006/relationships/fontTable" Target="fontTable.xml"/><Relationship Id="rId3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2376</TotalTime>
  <Application>LibreOffice/6.0.7.3$MacOSX_X86_64 LibreOffice_project/dc89aa7a9eabfd848af146d5086077aeed2ae4a5</Application>
  <Pages>29</Pages>
  <Words>1789</Words>
  <Characters>12375</Characters>
  <CharactersWithSpaces>14092</CharactersWithSpaces>
  <Paragraphs>176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2021-03-15T18:35:31Z</dcterms:created>
  <dc:creator/>
  <dc:description/>
  <dc:language>ru-RU</dc:language>
  <cp:lastModifiedBy/>
  <dcterms:modified xsi:type="dcterms:W3CDTF">2022-04-07T10:11:34Z</dcterms:modified>
  <cp:revision>371</cp:revision>
  <dc:subject/>
  <dc:title/>
</cp:coreProperties>
</file>