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770" cy="4638040"/>
            <wp:effectExtent l="0" t="0" r="508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63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rPr>
          <w:rFonts w:hint="default" w:ascii="Times New Roman" w:hAnsi="Times New Roman" w:cs="Times New Roman"/>
          <w:sz w:val="28"/>
          <w:szCs w:val="28"/>
        </w:rPr>
      </w:pPr>
    </w:p>
    <w:p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ProcessPoolExecutor — multiprocessing.Pool ga o‘xshaydi, lekin concurrent.futures interfeysi orqali ishlaydi (zamonaviyroq). Har bir worker jarayon alohida CPU yadrosida hisoblaydi. Parallel versiya CPU yadro soniga qarab ancha tezroq bajariladi.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gave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gave">
    <w:panose1 w:val="020B0509030604020203"/>
    <w:charset w:val="00"/>
    <w:family w:val="auto"/>
    <w:pitch w:val="default"/>
    <w:sig w:usb0="E00002FF" w:usb1="1000F8FB" w:usb2="00040000" w:usb3="00000000" w:csb0="600001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D7D5011"/>
    <w:rsid w:val="CD7D5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2025-10-29T10:26:00Z</dcterms:created>
  <dc:creator>matnazar</dc:creator>
  <cp:lastModifiedBy>matnazar</cp:lastModifiedBy>
  <dcterms:modified xsi:type="dcterms:W3CDTF">2025-10-29T10:27:23Z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