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НИРС: Замена оптимальной интерполяции Максимова</w:t>
        <w:br/>
        <w:t>на EDSR с оценкой неопределённости</w:t>
      </w:r>
    </w:p>
    <w:p>
      <w:pPr>
        <w:pStyle w:val="Heading1"/>
      </w:pPr>
      <w:r>
        <w:t>1. Параметры эксперимента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SCALE_DOWN (downsampling)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SCALE / EDSR upscale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NOISE_RATIO</w:t>
            </w:r>
          </w:p>
        </w:tc>
        <w:tc>
          <w:tcPr>
            <w:tcW w:type="dxa" w:w="4320"/>
          </w:tcPr>
          <w:p>
            <w:r>
              <w:t>0.15</w:t>
            </w:r>
          </w:p>
        </w:tc>
      </w:tr>
      <w:tr>
        <w:tc>
          <w:tcPr>
            <w:tcW w:type="dxa" w:w="4320"/>
          </w:tcPr>
          <w:p>
            <w:r>
              <w:t>BLUR_D</w:t>
            </w:r>
          </w:p>
        </w:tc>
        <w:tc>
          <w:tcPr>
            <w:tcW w:type="dxa" w:w="4320"/>
          </w:tcPr>
          <w:p>
            <w:r>
              <w:t>0.15</w:t>
            </w:r>
          </w:p>
        </w:tc>
      </w:tr>
      <w:tr>
        <w:tc>
          <w:tcPr>
            <w:tcW w:type="dxa" w:w="4320"/>
          </w:tcPr>
          <w:p>
            <w:r>
              <w:t>N_FRAMES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MCD_K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TTA_N (D4 аугментации)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RHO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Тестовое изображение</w:t>
            </w:r>
          </w:p>
        </w:tc>
        <w:tc>
          <w:tcPr>
            <w:tcW w:type="dxa" w:w="4320"/>
          </w:tcPr>
          <w:p>
            <w:r>
              <w:t>dataset/test/Test.png (100×200, номерной знак)</w:t>
            </w:r>
          </w:p>
        </w:tc>
      </w:tr>
      <w:tr>
        <w:tc>
          <w:tcPr>
            <w:tcW w:type="dxa" w:w="4320"/>
          </w:tcPr>
          <w:p>
            <w:r>
              <w:t>HR_REF размер</w:t>
            </w:r>
          </w:p>
        </w:tc>
        <w:tc>
          <w:tcPr>
            <w:tcW w:type="dxa" w:w="4320"/>
          </w:tcPr>
          <w:p>
            <w:r>
              <w:t>132×64 пкс</w:t>
            </w:r>
          </w:p>
        </w:tc>
      </w:tr>
      <w:tr>
        <w:tc>
          <w:tcPr>
            <w:tcW w:type="dxa" w:w="4320"/>
          </w:tcPr>
          <w:p>
            <w:r>
              <w:t>LR размер</w:t>
            </w:r>
          </w:p>
        </w:tc>
        <w:tc>
          <w:tcPr>
            <w:tcW w:type="dxa" w:w="4320"/>
          </w:tcPr>
          <w:p>
            <w:r>
              <w:t>33×16 пкс</w:t>
            </w:r>
          </w:p>
        </w:tc>
      </w:tr>
    </w:tbl>
    <w:p>
      <w:pPr>
        <w:pStyle w:val="Heading2"/>
      </w:pPr>
      <w:r>
        <w:t>Диапазоны значений в свиповых экспериментах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Диапазон</w:t>
            </w:r>
          </w:p>
        </w:tc>
      </w:tr>
      <w:tr>
        <w:tc>
          <w:tcPr>
            <w:tcW w:type="dxa" w:w="4320"/>
          </w:tcPr>
          <w:p>
            <w:r>
              <w:t>Число кадров I (График 2)</w:t>
            </w:r>
          </w:p>
        </w:tc>
        <w:tc>
          <w:tcPr>
            <w:tcW w:type="dxa" w:w="4320"/>
          </w:tcPr>
          <w:p>
            <w:r>
              <w:t>[2, 4, 8, 16, 32, 40]</w:t>
            </w:r>
          </w:p>
        </w:tc>
      </w:tr>
      <w:tr>
        <w:tc>
          <w:tcPr>
            <w:tcW w:type="dxa" w:w="4320"/>
          </w:tcPr>
          <w:p>
            <w:r>
              <w:t>Уровень шума (График 3)</w:t>
            </w:r>
          </w:p>
        </w:tc>
        <w:tc>
          <w:tcPr>
            <w:tcW w:type="dxa" w:w="4320"/>
          </w:tcPr>
          <w:p>
            <w:r>
              <w:t>[0.0, 0.05, 0.1, 0.15, 0.2]</w:t>
            </w:r>
          </w:p>
        </w:tc>
      </w:tr>
      <w:tr>
        <w:tc>
          <w:tcPr>
            <w:tcW w:type="dxa" w:w="4320"/>
          </w:tcPr>
          <w:p>
            <w:r>
              <w:t>Ширина PSF (График 4)</w:t>
            </w:r>
          </w:p>
        </w:tc>
        <w:tc>
          <w:tcPr>
            <w:tcW w:type="dxa" w:w="4320"/>
          </w:tcPr>
          <w:p>
            <w:r>
              <w:t>[0.0, 0.05, 0.1, 0.2, 0.3]</w:t>
            </w:r>
          </w:p>
        </w:tc>
      </w:tr>
      <w:tr>
        <w:tc>
          <w:tcPr>
            <w:tcW w:type="dxa" w:w="4320"/>
          </w:tcPr>
          <w:p>
            <w:r>
              <w:t>Коэффициент L (График 5)</w:t>
            </w:r>
          </w:p>
        </w:tc>
        <w:tc>
          <w:tcPr>
            <w:tcW w:type="dxa" w:w="4320"/>
          </w:tcPr>
          <w:p>
            <w:r>
              <w:t>[2, 3, 4, 6, 8]</w:t>
            </w:r>
          </w:p>
        </w:tc>
      </w:tr>
    </w:tbl>
    <w:p>
      <w:pPr>
        <w:pStyle w:val="Heading1"/>
      </w:pPr>
      <w:r>
        <w:t>2. Описание пайплайнов P1–P6</w:t>
      </w:r>
    </w:p>
    <w:p>
      <w:pPr>
        <w:pStyle w:val="ListBullet"/>
      </w:pPr>
      <w:r>
        <w:rPr>
          <w:b/>
        </w:rPr>
        <w:t xml:space="preserve">P1: </w:t>
      </w:r>
      <w:r>
        <w:t>Этап 1: Бикубическая интерполяция | Этап 3: Усреднение (baseline)</w:t>
      </w:r>
    </w:p>
    <w:p>
      <w:pPr>
        <w:pStyle w:val="ListBullet"/>
      </w:pPr>
      <w:r>
        <w:rPr>
          <w:b/>
        </w:rPr>
        <w:t xml:space="preserve">P2: </w:t>
      </w:r>
      <w:r>
        <w:t>Этап 1: Максимов (Wiener-фильтр + аналит. D_ε) | Этап 3: Взвешенное (формула 92)</w:t>
      </w:r>
    </w:p>
    <w:p>
      <w:pPr>
        <w:pStyle w:val="ListBullet"/>
      </w:pPr>
      <w:r>
        <w:rPr>
          <w:b/>
        </w:rPr>
        <w:t xml:space="preserve">P3: </w:t>
      </w:r>
      <w:r>
        <w:t>Этап 1: EDSR ×4 | Этап 3: Усреднение</w:t>
      </w:r>
    </w:p>
    <w:p>
      <w:pPr>
        <w:pStyle w:val="ListBullet"/>
      </w:pPr>
      <w:r>
        <w:rPr>
          <w:b/>
        </w:rPr>
        <w:t xml:space="preserve">P4: </w:t>
      </w:r>
      <w:r>
        <w:t>Этап 1: EDSR + TTA (8 аугментаций D4) | Этап 3: Взвешенное по дисперсии TTA</w:t>
      </w:r>
    </w:p>
    <w:p>
      <w:pPr>
        <w:pStyle w:val="ListBullet"/>
      </w:pPr>
      <w:r>
        <w:rPr>
          <w:b/>
        </w:rPr>
        <w:t xml:space="preserve">P5: </w:t>
      </w:r>
      <w:r>
        <w:t>Этап 1: EDSR + MC Dropout (K прогонов, p=0.10) | Этап 3: Взвешенное по дисперсии MCD</w:t>
      </w:r>
    </w:p>
    <w:p>
      <w:pPr>
        <w:pStyle w:val="ListBullet"/>
      </w:pPr>
      <w:r>
        <w:rPr>
          <w:b/>
        </w:rPr>
        <w:t xml:space="preserve">P6: </w:t>
      </w:r>
      <w:r>
        <w:t>Этап 1: EDSR + гетероскедастический прокси σ² | Этап 3: Взвешенное по σ²</w:t>
      </w:r>
    </w:p>
    <w:p>
      <w:pPr>
        <w:pStyle w:val="Heading1"/>
      </w:pPr>
      <w:r>
        <w:t>3. Результаты</w:t>
      </w:r>
    </w:p>
    <w:p>
      <w:pPr>
        <w:pStyle w:val="Heading2"/>
      </w:pPr>
      <w:r>
        <w:t>3.1 Метрики качества восстановления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Pipeline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PSNR (дБ) 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SSIM 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D_ε/D_x ↓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Время (с) ↓</w:t>
            </w:r>
          </w:p>
        </w:tc>
      </w:tr>
      <w:tr>
        <w:tc>
          <w:tcPr>
            <w:tcW w:type="dxa" w:w="1728"/>
          </w:tcPr>
          <w:p>
            <w:r>
              <w:t>P1: Bicubic+avg</w:t>
            </w:r>
          </w:p>
        </w:tc>
        <w:tc>
          <w:tcPr>
            <w:tcW w:type="dxa" w:w="1728"/>
          </w:tcPr>
          <w:p>
            <w:r>
              <w:t>13.03</w:t>
            </w:r>
          </w:p>
        </w:tc>
        <w:tc>
          <w:tcPr>
            <w:tcW w:type="dxa" w:w="1728"/>
          </w:tcPr>
          <w:p>
            <w:r>
              <w:t>0.3243</w:t>
            </w:r>
          </w:p>
        </w:tc>
        <w:tc>
          <w:tcPr>
            <w:tcW w:type="dxa" w:w="1728"/>
          </w:tcPr>
          <w:p>
            <w:r>
              <w:t>0.7828</w:t>
            </w:r>
          </w:p>
        </w:tc>
        <w:tc>
          <w:tcPr>
            <w:tcW w:type="dxa" w:w="1728"/>
          </w:tcPr>
          <w:p>
            <w:r>
              <w:t>8.6</w:t>
            </w:r>
          </w:p>
        </w:tc>
      </w:tr>
      <w:tr>
        <w:tc>
          <w:tcPr>
            <w:tcW w:type="dxa" w:w="1728"/>
          </w:tcPr>
          <w:p>
            <w:r>
              <w:t>P2: Maximov</w:t>
            </w:r>
          </w:p>
        </w:tc>
        <w:tc>
          <w:tcPr>
            <w:tcW w:type="dxa" w:w="1728"/>
          </w:tcPr>
          <w:p>
            <w:r>
              <w:t>11.82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0.3275</w:t>
            </w:r>
          </w:p>
        </w:tc>
        <w:tc>
          <w:tcPr>
            <w:tcW w:type="dxa" w:w="1728"/>
          </w:tcPr>
          <w:p>
            <w:r>
              <w:t>1.0324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8.1</w:t>
            </w:r>
          </w:p>
        </w:tc>
      </w:tr>
      <w:tr>
        <w:tc>
          <w:tcPr>
            <w:tcW w:type="dxa" w:w="1728"/>
          </w:tcPr>
          <w:p>
            <w:r>
              <w:t>P3: EDSR+avg</w:t>
            </w:r>
          </w:p>
        </w:tc>
        <w:tc>
          <w:tcPr>
            <w:tcW w:type="dxa" w:w="1728"/>
          </w:tcPr>
          <w:p>
            <w:r>
              <w:t>13.06</w:t>
            </w:r>
          </w:p>
        </w:tc>
        <w:tc>
          <w:tcPr>
            <w:tcW w:type="dxa" w:w="1728"/>
          </w:tcPr>
          <w:p>
            <w:r>
              <w:t>0.3259</w:t>
            </w:r>
          </w:p>
        </w:tc>
        <w:tc>
          <w:tcPr>
            <w:tcW w:type="dxa" w:w="1728"/>
          </w:tcPr>
          <w:p>
            <w:r>
              <w:t>0.7769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P4: EDSR+TTA8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13.08</w:t>
            </w:r>
          </w:p>
        </w:tc>
        <w:tc>
          <w:tcPr>
            <w:tcW w:type="dxa" w:w="1728"/>
          </w:tcPr>
          <w:p>
            <w:r>
              <w:t>0.3199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0.7727</w:t>
            </w:r>
          </w:p>
        </w:tc>
        <w:tc>
          <w:tcPr>
            <w:tcW w:type="dxa" w:w="1728"/>
          </w:tcPr>
          <w:p>
            <w:r>
              <w:t>11.5</w:t>
            </w:r>
          </w:p>
        </w:tc>
      </w:tr>
      <w:tr>
        <w:tc>
          <w:tcPr>
            <w:tcW w:type="dxa" w:w="1728"/>
          </w:tcPr>
          <w:p>
            <w:r>
              <w:t>P5: EDSR+MCD</w:t>
            </w:r>
          </w:p>
        </w:tc>
        <w:tc>
          <w:tcPr>
            <w:tcW w:type="dxa" w:w="1728"/>
          </w:tcPr>
          <w:p>
            <w:r>
              <w:t>13.04</w:t>
            </w:r>
          </w:p>
        </w:tc>
        <w:tc>
          <w:tcPr>
            <w:tcW w:type="dxa" w:w="1728"/>
          </w:tcPr>
          <w:p>
            <w:r>
              <w:t>0.3234</w:t>
            </w:r>
          </w:p>
        </w:tc>
        <w:tc>
          <w:tcPr>
            <w:tcW w:type="dxa" w:w="1728"/>
          </w:tcPr>
          <w:p>
            <w:r>
              <w:t>0.7806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P6: EDSR+Heterosc.</w:t>
            </w:r>
          </w:p>
        </w:tc>
        <w:tc>
          <w:tcPr>
            <w:tcW w:type="dxa" w:w="1728"/>
          </w:tcPr>
          <w:p>
            <w:r>
              <w:t>13.04</w:t>
            </w:r>
          </w:p>
        </w:tc>
        <w:tc>
          <w:tcPr>
            <w:tcW w:type="dxa" w:w="1728"/>
          </w:tcPr>
          <w:p>
            <w:r>
              <w:t>0.3239</w:t>
            </w:r>
          </w:p>
        </w:tc>
        <w:tc>
          <w:tcPr>
            <w:tcW w:type="dxa" w:w="1728"/>
          </w:tcPr>
          <w:p>
            <w:r>
              <w:t>0.7805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</w:tbl>
    <w:p>
      <w:pPr>
        <w:pStyle w:val="Heading2"/>
      </w:pPr>
      <w:r>
        <w:t>3.2 Метрики качества карт неопределённости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Метод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Spearman ρ 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AUSE ↓</w:t>
            </w:r>
          </w:p>
        </w:tc>
      </w:tr>
      <w:tr>
        <w:tc>
          <w:tcPr>
            <w:tcW w:type="dxa" w:w="2880"/>
          </w:tcPr>
          <w:p>
            <w:r>
              <w:t>Максимов D_ε</w:t>
            </w:r>
          </w:p>
        </w:tc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3672.75517</w:t>
            </w:r>
          </w:p>
        </w:tc>
      </w:tr>
      <w:tr>
        <w:tc>
          <w:tcPr>
            <w:tcW w:type="dxa" w:w="2880"/>
          </w:tcPr>
          <w:p>
            <w:r>
              <w:t>TTA-ансамбль</w:t>
            </w:r>
          </w:p>
        </w:tc>
        <w:tc>
          <w:tcPr>
            <w:tcW w:type="dxa" w:w="2880"/>
          </w:tcPr>
          <w:p>
            <w:r>
              <w:t>0.3099</w:t>
            </w:r>
          </w:p>
        </w:tc>
        <w:tc>
          <w:tcPr>
            <w:tcW w:type="dxa" w:w="2880"/>
          </w:tcPr>
          <w:p>
            <w:r>
              <w:t>2274.92169</w:t>
            </w:r>
          </w:p>
        </w:tc>
      </w:tr>
      <w:tr>
        <w:tc>
          <w:tcPr>
            <w:tcW w:type="dxa" w:w="2880"/>
          </w:tcPr>
          <w:p>
            <w:r>
              <w:t>MC Dropout</w:t>
            </w:r>
          </w:p>
        </w:tc>
        <w:tc>
          <w:tcPr>
            <w:tcW w:type="dxa" w:w="2880"/>
          </w:tcPr>
          <w:p>
            <w:r>
              <w:t>0.3731</w:t>
            </w:r>
          </w:p>
        </w:tc>
        <w:tc>
          <w:tcPr>
            <w:tcW w:type="dxa" w:w="2880"/>
          </w:tcPr>
          <w:p>
            <w:r>
              <w:t>2472.84620</w:t>
            </w:r>
          </w:p>
        </w:tc>
      </w:tr>
      <w:tr>
        <w:tc>
          <w:tcPr>
            <w:tcW w:type="dxa" w:w="2880"/>
          </w:tcPr>
          <w:p>
            <w:r>
              <w:t>Гетероскед.</w:t>
            </w:r>
          </w:p>
        </w:tc>
        <w:tc>
          <w:tcPr>
            <w:tcW w:type="dxa" w:w="2880"/>
          </w:tcPr>
          <w:p>
            <w:r>
              <w:t>0.3880</w:t>
            </w:r>
          </w:p>
        </w:tc>
        <w:tc>
          <w:tcPr>
            <w:tcW w:type="dxa" w:w="2880"/>
          </w:tcPr>
          <w:p>
            <w:r>
              <w:t>1821.00247</w:t>
            </w:r>
          </w:p>
        </w:tc>
      </w:tr>
    </w:tbl>
    <w:p>
      <w:pPr>
        <w:pStyle w:val="Heading1"/>
      </w:pPr>
      <w:r>
        <w:t>4. Графики</w:t>
      </w:r>
    </w:p>
    <w:p>
      <w:pPr>
        <w:pStyle w:val="Heading2"/>
      </w:pPr>
      <w:r>
        <w:t>График 1 — Сводные метрики качества (P1–P6)</w:t>
      </w:r>
    </w:p>
    <w:p>
      <w:r>
        <w:drawing>
          <wp:inline xmlns:a="http://schemas.openxmlformats.org/drawingml/2006/main" xmlns:pic="http://schemas.openxmlformats.org/drawingml/2006/picture">
            <wp:extent cx="5669280" cy="15110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1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1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График 2 — Ошибка vs число кадров I</w:t>
      </w:r>
    </w:p>
    <w:p>
      <w:r>
        <w:drawing>
          <wp:inline xmlns:a="http://schemas.openxmlformats.org/drawingml/2006/main" xmlns:pic="http://schemas.openxmlformats.org/drawingml/2006/picture">
            <wp:extent cx="5669280" cy="31030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2_fram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3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График 3 — Ошибка vs уровень шума</w:t>
      </w:r>
    </w:p>
    <w:p>
      <w:r>
        <w:drawing>
          <wp:inline xmlns:a="http://schemas.openxmlformats.org/drawingml/2006/main" xmlns:pic="http://schemas.openxmlformats.org/drawingml/2006/picture">
            <wp:extent cx="5669280" cy="31030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3_noi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3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График 4 — Ошибка vs ширина PSF</w:t>
      </w:r>
    </w:p>
    <w:p>
      <w:r>
        <w:drawing>
          <wp:inline xmlns:a="http://schemas.openxmlformats.org/drawingml/2006/main" xmlns:pic="http://schemas.openxmlformats.org/drawingml/2006/picture">
            <wp:extent cx="5669280" cy="31080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4_blu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8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График 5 — Ошибка vs коэффициент учащения L</w:t>
      </w:r>
    </w:p>
    <w:p>
      <w:r>
        <w:drawing>
          <wp:inline xmlns:a="http://schemas.openxmlformats.org/drawingml/2006/main" xmlns:pic="http://schemas.openxmlformats.org/drawingml/2006/picture">
            <wp:extent cx="5669280" cy="31080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5_sca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8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График 6 — Reliability diagrams</w:t>
      </w:r>
    </w:p>
    <w:p>
      <w:r>
        <w:drawing>
          <wp:inline xmlns:a="http://schemas.openxmlformats.org/drawingml/2006/main" xmlns:pic="http://schemas.openxmlformats.org/drawingml/2006/picture">
            <wp:extent cx="5669280" cy="48366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6_reliabi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36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График 7 — Корреляция карт неопределённости с реальной ошибкой</w:t>
      </w:r>
    </w:p>
    <w:p>
      <w:r>
        <w:drawing>
          <wp:inline xmlns:a="http://schemas.openxmlformats.org/drawingml/2006/main" xmlns:pic="http://schemas.openxmlformats.org/drawingml/2006/picture">
            <wp:extent cx="5669280" cy="31483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7_spearm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8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График 8 — PSNR и AUSE vs N прогонов/аугментаций</w:t>
      </w:r>
    </w:p>
    <w:p>
      <w:r>
        <w:drawing>
          <wp:inline xmlns:a="http://schemas.openxmlformats.org/drawingml/2006/main" xmlns:pic="http://schemas.openxmlformats.org/drawingml/2006/picture">
            <wp:extent cx="5669280" cy="19440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8_n_pass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4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График 9 — Время обработки (логарифмическая шкала)</w:t>
      </w:r>
    </w:p>
    <w:p>
      <w:r>
        <w:drawing>
          <wp:inline xmlns:a="http://schemas.openxmlformats.org/drawingml/2006/main" xmlns:pic="http://schemas.openxmlformats.org/drawingml/2006/picture">
            <wp:extent cx="5669280" cy="24775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9_tim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77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График 10 — Визуальное сравнение</w:t>
      </w:r>
    </w:p>
    <w:p>
      <w:r>
        <w:drawing>
          <wp:inline xmlns:a="http://schemas.openxmlformats.org/drawingml/2006/main" xmlns:pic="http://schemas.openxmlformats.org/drawingml/2006/picture">
            <wp:extent cx="5669280" cy="22453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10_visu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5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График 11 — ИХ восстанавливающего фильтра (воспроизведение рис. 5 диссертации)</w:t>
      </w:r>
    </w:p>
    <w:p>
      <w:r>
        <w:drawing>
          <wp:inline xmlns:a="http://schemas.openxmlformats.org/drawingml/2006/main" xmlns:pic="http://schemas.openxmlformats.org/drawingml/2006/picture">
            <wp:extent cx="5669280" cy="194404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11_fil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4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График 12 — Сравнение алгоритмов геометрического согласования</w:t>
      </w:r>
    </w:p>
    <w:p>
      <w:r>
        <w:drawing>
          <wp:inline xmlns:a="http://schemas.openxmlformats.org/drawingml/2006/main" xmlns:pic="http://schemas.openxmlformats.org/drawingml/2006/picture">
            <wp:extent cx="5669280" cy="19508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12_registr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50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Анализ результатов</w:t>
      </w:r>
    </w:p>
    <w:p>
      <w:pPr>
        <w:pStyle w:val="Heading2"/>
      </w:pPr>
      <w:r>
        <w:t>5.1 Контрольные точки ТЗ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КТ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Условие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880"/>
          </w:tcPr>
          <w:p>
            <w:r>
              <w:t>КТ1</w:t>
            </w:r>
          </w:p>
        </w:tc>
        <w:tc>
          <w:tcPr>
            <w:tcW w:type="dxa" w:w="2880"/>
          </w:tcPr>
          <w:p>
            <w:r>
              <w:t>EDSR загружена без ошибок</w:t>
            </w:r>
          </w:p>
        </w:tc>
        <w:tc>
          <w:tcPr>
            <w:tcW w:type="dxa" w:w="2880"/>
          </w:tcPr>
          <w:p>
            <w:r>
              <w:t>✅ Выполнено</w:t>
            </w:r>
          </w:p>
        </w:tc>
      </w:tr>
      <w:tr>
        <w:tc>
          <w:tcPr>
            <w:tcW w:type="dxa" w:w="2880"/>
          </w:tcPr>
          <w:p>
            <w:r>
              <w:t>КТ2</w:t>
            </w:r>
          </w:p>
        </w:tc>
        <w:tc>
          <w:tcPr>
            <w:tcW w:type="dxa" w:w="2880"/>
          </w:tcPr>
          <w:p>
            <w:r>
              <w:t>PSNR(EDSR) ≥ PSNR(P1)+1.5 дБ | P1=13.03, лучший=13.08 (Δ=+0.06)</w:t>
            </w:r>
          </w:p>
        </w:tc>
        <w:tc>
          <w:tcPr>
            <w:tcW w:type="dxa" w:w="2880"/>
          </w:tcPr>
          <w:p>
            <w:r>
              <w:t>❌ Δ=+0.06 &lt; 1.5</w:t>
            </w:r>
          </w:p>
        </w:tc>
      </w:tr>
      <w:tr>
        <w:tc>
          <w:tcPr>
            <w:tcW w:type="dxa" w:w="2880"/>
          </w:tcPr>
          <w:p>
            <w:r>
              <w:t>КТ3</w:t>
            </w:r>
          </w:p>
        </w:tc>
        <w:tc>
          <w:tcPr>
            <w:tcW w:type="dxa" w:w="2880"/>
          </w:tcPr>
          <w:p>
            <w:r>
              <w:t>PSNR(P4/P5/P6) ≥ PSNR(P3)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КТ4</w:t>
            </w:r>
          </w:p>
        </w:tc>
        <w:tc>
          <w:tcPr>
            <w:tcW w:type="dxa" w:w="2880"/>
          </w:tcPr>
          <w:p>
            <w:r>
              <w:t>D_ε/D_x(P2–P6) ≤ D_ε/D_x(P1)</w:t>
            </w:r>
          </w:p>
        </w:tc>
        <w:tc>
          <w:tcPr>
            <w:tcW w:type="dxa" w:w="2880"/>
          </w:tcPr>
          <w:p>
            <w:r>
              <w:t>⚠️ частично</w:t>
            </w:r>
          </w:p>
        </w:tc>
      </w:tr>
    </w:tbl>
    <w:p>
      <w:pPr>
        <w:pStyle w:val="Heading2"/>
      </w:pPr>
      <w:r>
        <w:t>5.2 Ключевые наблюдения</w:t>
      </w:r>
    </w:p>
    <w:p>
      <w:pPr>
        <w:pStyle w:val="ListBullet"/>
      </w:pPr>
      <w:r>
        <w:t>Тестовое изображение: номерной знак Test.png (100×200), downscale ×6, EDSR ×4 → HR_REF 132×64.</w:t>
      </w:r>
    </w:p>
    <w:p>
      <w:pPr>
        <w:pStyle w:val="ListBullet"/>
      </w:pPr>
      <w:r>
        <w:t>Лучший пайплайн по PSNR: P4 (13.08 дБ). Прирост над P1 (bicubic): +0.06 дБ, над P2 (Максимов): +1.26 дБ.</w:t>
      </w:r>
    </w:p>
    <w:p>
      <w:pPr>
        <w:pStyle w:val="ListBullet"/>
      </w:pPr>
      <w:r>
        <w:t>Самый быстрый: P2 (8.1 с на 12 кадрах).</w:t>
      </w:r>
    </w:p>
    <w:p>
      <w:pPr>
        <w:pStyle w:val="ListBullet"/>
      </w:pPr>
      <w:r>
        <w:t>Uncertainty estimation: TTA (P4) использует D4-группу (8 аугм.); MC Dropout (P5) — стохастический dropout на инференсе без дообучения; гетероскедастический прокси (P6) — |EDSR−bicubic|²+0.1|∇EDSR|.</w:t>
      </w:r>
    </w:p>
    <w:p>
      <w:pPr>
        <w:pStyle w:val="ListBullet"/>
      </w:pPr>
      <w:r>
        <w:t>Геометрическое согласование: ECC (пирамидальный, 3 уровня) — основной алгоритм. Матрицы деформации применяются к dep_maps без потерь точности (float, без uint8).</w:t>
      </w:r>
    </w:p>
    <w:p>
      <w:pPr>
        <w:pStyle w:val="ListBullet"/>
      </w:pPr>
      <w:r>
        <w:t>Шум деградации: IQR-адаптивный (D_x=IQR²/1.35²); для номерного знака (бимодальный) IQR≈0 → D_x=0.01 → std≈8 пкс (вместо 19 пкс без адаптации).</w:t>
      </w:r>
    </w:p>
    <w:p>
      <w:pPr>
        <w:pStyle w:val="Heading1"/>
      </w:pPr>
      <w:r>
        <w:t>6. Рекомендации по улучшению</w:t>
      </w:r>
    </w:p>
    <w:p>
      <w:pPr>
        <w:pStyle w:val="ListBullet"/>
      </w:pPr>
      <w:r>
        <w:rPr>
          <w:b/>
        </w:rPr>
        <w:t xml:space="preserve">[КРИТИЧЕСКИ] </w:t>
      </w:r>
      <w:r>
        <w:t>Дообучить EDSR на деградации Максимова (модель обучена на bicubic → нет выигрыша). Запустить ячейку 13 с RUN_FINETUNING=True на GPU.</w:t>
      </w:r>
    </w:p>
    <w:p>
      <w:pPr>
        <w:pStyle w:val="ListBullet"/>
      </w:pPr>
      <w:r>
        <w:rPr>
          <w:b/>
        </w:rPr>
        <w:t xml:space="preserve">[КРИТИЧЕСКИ] </w:t>
      </w:r>
      <w:r>
        <w:t>Заменить TTA на реальный Deep Ensemble: обучить N=3–5 независимых копий EDSR с разными random seeds.</w:t>
      </w:r>
    </w:p>
    <w:p>
      <w:pPr>
        <w:pStyle w:val="ListBullet"/>
      </w:pPr>
      <w:r>
        <w:rPr>
          <w:b/>
        </w:rPr>
        <w:t xml:space="preserve">[ВАЖНО] </w:t>
      </w:r>
      <w:r>
        <w:t>Дообучить MC Dropout версию: добавить Dropout2d(p=0.1) после ResBlocks, fine-tune 10–15 эпох.</w:t>
      </w:r>
    </w:p>
    <w:p>
      <w:pPr>
        <w:pStyle w:val="ListBullet"/>
      </w:pPr>
      <w:r>
        <w:rPr>
          <w:b/>
        </w:rPr>
        <w:t xml:space="preserve">[ВАЖНО] </w:t>
      </w:r>
      <w:r>
        <w:t>Проверить КТ2 (PSNR ≥ P1+1.5 дБ) после fine-tune на деградации Максимова.</w:t>
      </w:r>
    </w:p>
    <w:p>
      <w:pPr>
        <w:pStyle w:val="ListBullet"/>
      </w:pPr>
      <w:r>
        <w:rPr>
          <w:b/>
        </w:rPr>
        <w:t xml:space="preserve">[Улучшение] </w:t>
      </w:r>
      <w:r>
        <w:t>Попробовать Real-ESRGAN или SwinIR для сравнения с EDSR.</w:t>
      </w:r>
    </w:p>
    <w:p>
      <w:pPr>
        <w:pStyle w:val="ListBullet"/>
      </w:pPr>
      <w:r>
        <w:rPr>
          <w:b/>
        </w:rPr>
        <w:t xml:space="preserve">[Улучшение] </w:t>
      </w:r>
      <w:r>
        <w:t>Расширить тестовую выборку: несколько номерных знаков + DIV2K для обобщаемости.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