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360" w:lineRule="auto"/>
        <w:jc w:val="center"/>
        <w:rPr/>
      </w:pPr>
      <w:r w:rsidDel="00000000" w:rsidR="00000000" w:rsidRPr="00000000">
        <w:rPr>
          <w:rFonts w:ascii="Arial" w:cs="Arial" w:eastAsia="Arial" w:hAnsi="Arial"/>
          <w:color w:val="000000"/>
          <w:sz w:val="24"/>
          <w:szCs w:val="24"/>
          <w:rtl w:val="0"/>
        </w:rPr>
        <w:t xml:space="preserve">DUOC UC</w:t>
      </w:r>
      <w:r w:rsidDel="00000000" w:rsidR="00000000" w:rsidRPr="00000000">
        <w:rPr>
          <w:rtl w:val="0"/>
        </w:rPr>
      </w:r>
    </w:p>
    <w:p w:rsidR="00000000" w:rsidDel="00000000" w:rsidP="00000000" w:rsidRDefault="00000000" w:rsidRPr="00000000" w14:paraId="00000002">
      <w:pPr>
        <w:spacing w:after="480" w:before="0" w:line="360" w:lineRule="auto"/>
        <w:jc w:val="center"/>
        <w:rPr/>
      </w:pPr>
      <w:r w:rsidDel="00000000" w:rsidR="00000000" w:rsidRPr="00000000">
        <w:rPr>
          <w:rFonts w:ascii="Arial" w:cs="Arial" w:eastAsia="Arial" w:hAnsi="Arial"/>
          <w:color w:val="000000"/>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Fonts w:ascii="Arial" w:cs="Arial" w:eastAsia="Arial" w:hAnsi="Arial"/>
          <w:b w:val="1"/>
          <w:bCs w:val="1"/>
          <w:color w:val="000000"/>
          <w:sz w:val="28"/>
          <w:szCs w:val="28"/>
          <w:rtl w:val="0"/>
        </w:rPr>
        <w:t xml:space="preserve">INFORME TÉCNICO: EVALUACIÓN FASE 1</w:t>
        <w:br w:type="textWrapping"/>
        <w:t xml:space="preserve">DEFINICIÓN PROYECTO APT</w:t>
      </w:r>
      <w:r w:rsidDel="00000000" w:rsidR="00000000" w:rsidRPr="00000000">
        <w:rPr>
          <w:rtl w:val="0"/>
        </w:rPr>
      </w:r>
    </w:p>
    <w:p w:rsidR="00000000" w:rsidDel="00000000" w:rsidP="00000000" w:rsidRDefault="00000000" w:rsidRPr="00000000" w14:paraId="00000004">
      <w:pPr>
        <w:spacing w:after="720" w:before="0" w:line="360" w:lineRule="auto"/>
        <w:jc w:val="center"/>
        <w:rPr/>
      </w:pPr>
      <w:r w:rsidDel="00000000" w:rsidR="00000000" w:rsidRPr="00000000">
        <w:rPr>
          <w:rFonts w:ascii="Arial" w:cs="Arial" w:eastAsia="Arial" w:hAnsi="Arial"/>
          <w:color w:val="000000"/>
          <w:sz w:val="24"/>
          <w:szCs w:val="24"/>
          <w:rtl w:val="0"/>
        </w:rPr>
        <w:t xml:space="preserve">Ecosistema ProductBiss (ProductClient, ProductBiss POS y ProductAdmin)</w:t>
      </w:r>
      <w:r w:rsidDel="00000000" w:rsidR="00000000" w:rsidRPr="00000000">
        <w:rPr>
          <w:rtl w:val="0"/>
        </w:rPr>
      </w:r>
    </w:p>
    <w:p w:rsidR="00000000" w:rsidDel="00000000" w:rsidP="00000000" w:rsidRDefault="00000000" w:rsidRPr="00000000" w14:paraId="00000005">
      <w:pPr>
        <w:spacing w:after="120" w:before="0" w:line="360" w:lineRule="auto"/>
        <w:jc w:val="left"/>
        <w:rPr/>
      </w:pPr>
      <w:r w:rsidDel="00000000" w:rsidR="00000000" w:rsidRPr="00000000">
        <w:rPr>
          <w:rFonts w:ascii="Arial" w:cs="Arial" w:eastAsia="Arial" w:hAnsi="Arial"/>
          <w:b w:val="1"/>
          <w:bCs w:val="1"/>
          <w:color w:val="000000"/>
          <w:sz w:val="24"/>
          <w:szCs w:val="24"/>
          <w:rtl w:val="0"/>
        </w:rPr>
        <w:t xml:space="preserve">Asignatura: </w:t>
      </w:r>
      <w:r w:rsidDel="00000000" w:rsidR="00000000" w:rsidRPr="00000000">
        <w:rPr>
          <w:rFonts w:ascii="Arial" w:cs="Arial" w:eastAsia="Arial" w:hAnsi="Arial"/>
          <w:color w:val="000000"/>
          <w:sz w:val="24"/>
          <w:szCs w:val="24"/>
          <w:rtl w:val="0"/>
        </w:rPr>
        <w:t xml:space="preserve">Capstone (PTY4614)</w:t>
      </w:r>
      <w:r w:rsidDel="00000000" w:rsidR="00000000" w:rsidRPr="00000000">
        <w:rPr>
          <w:rtl w:val="0"/>
        </w:rPr>
      </w:r>
    </w:p>
    <w:p w:rsidR="00000000" w:rsidDel="00000000" w:rsidP="00000000" w:rsidRDefault="00000000" w:rsidRPr="00000000" w14:paraId="00000006">
      <w:pPr>
        <w:spacing w:after="120" w:before="0" w:line="360" w:lineRule="auto"/>
        <w:jc w:val="left"/>
        <w:rPr/>
      </w:pPr>
      <w:r w:rsidDel="00000000" w:rsidR="00000000" w:rsidRPr="00000000">
        <w:rPr>
          <w:rFonts w:ascii="Arial" w:cs="Arial" w:eastAsia="Arial" w:hAnsi="Arial"/>
          <w:b w:val="1"/>
          <w:bCs w:val="1"/>
          <w:color w:val="000000"/>
          <w:sz w:val="24"/>
          <w:szCs w:val="24"/>
          <w:rtl w:val="0"/>
        </w:rPr>
        <w:t xml:space="preserve">Evaluación: </w:t>
      </w:r>
      <w:r w:rsidDel="00000000" w:rsidR="00000000" w:rsidRPr="00000000">
        <w:rPr>
          <w:rFonts w:ascii="Arial" w:cs="Arial" w:eastAsia="Arial" w:hAnsi="Arial"/>
          <w:color w:val="000000"/>
          <w:sz w:val="24"/>
          <w:szCs w:val="24"/>
          <w:rtl w:val="0"/>
        </w:rPr>
        <w:t xml:space="preserve">Formativa Fase 1 - Definición Proyecto APT</w:t>
      </w:r>
      <w:r w:rsidDel="00000000" w:rsidR="00000000" w:rsidRPr="00000000">
        <w:rPr>
          <w:rtl w:val="0"/>
        </w:rPr>
      </w:r>
    </w:p>
    <w:p w:rsidR="00000000" w:rsidDel="00000000" w:rsidP="00000000" w:rsidRDefault="00000000" w:rsidRPr="00000000" w14:paraId="00000007">
      <w:pPr>
        <w:spacing w:after="120" w:before="0" w:line="360" w:lineRule="auto"/>
        <w:jc w:val="left"/>
        <w:rPr/>
      </w:pPr>
      <w:r w:rsidDel="00000000" w:rsidR="00000000" w:rsidRPr="00000000">
        <w:rPr>
          <w:rFonts w:ascii="Arial" w:cs="Arial" w:eastAsia="Arial" w:hAnsi="Arial"/>
          <w:b w:val="1"/>
          <w:bCs w:val="1"/>
          <w:color w:val="000000"/>
          <w:sz w:val="24"/>
          <w:szCs w:val="24"/>
          <w:rtl w:val="0"/>
        </w:rPr>
        <w:t xml:space="preserve">Período: </w:t>
      </w:r>
      <w:r w:rsidDel="00000000" w:rsidR="00000000" w:rsidRPr="00000000">
        <w:rPr>
          <w:rFonts w:ascii="Arial" w:cs="Arial" w:eastAsia="Arial" w:hAnsi="Arial"/>
          <w:color w:val="000000"/>
          <w:sz w:val="24"/>
          <w:szCs w:val="24"/>
          <w:rtl w:val="0"/>
        </w:rPr>
        <w:t xml:space="preserve">Semana 2</w:t>
      </w:r>
      <w:r w:rsidDel="00000000" w:rsidR="00000000" w:rsidRPr="00000000">
        <w:rPr>
          <w:rtl w:val="0"/>
        </w:rPr>
      </w:r>
    </w:p>
    <w:p w:rsidR="00000000" w:rsidDel="00000000" w:rsidP="00000000" w:rsidRDefault="00000000" w:rsidRPr="00000000" w14:paraId="00000008">
      <w:pPr>
        <w:spacing w:after="120" w:before="0" w:line="360" w:lineRule="auto"/>
        <w:jc w:val="left"/>
        <w:rPr/>
      </w:pPr>
      <w:r w:rsidDel="00000000" w:rsidR="00000000" w:rsidRPr="00000000">
        <w:rPr>
          <w:rFonts w:ascii="Arial" w:cs="Arial" w:eastAsia="Arial" w:hAnsi="Arial"/>
          <w:b w:val="1"/>
          <w:bCs w:val="1"/>
          <w:color w:val="000000"/>
          <w:sz w:val="24"/>
          <w:szCs w:val="24"/>
          <w:rtl w:val="0"/>
        </w:rPr>
        <w:t xml:space="preserve">Régimen de Emisión: </w:t>
      </w:r>
      <w:r w:rsidDel="00000000" w:rsidR="00000000" w:rsidRPr="00000000">
        <w:rPr>
          <w:rFonts w:ascii="Arial" w:cs="Arial" w:eastAsia="Arial" w:hAnsi="Arial"/>
          <w:color w:val="000000"/>
          <w:sz w:val="24"/>
          <w:szCs w:val="24"/>
          <w:rtl w:val="0"/>
        </w:rPr>
        <w:t xml:space="preserve">Sin DTE ni integración con el SII (enfoque operativo interno)</w:t>
      </w:r>
      <w:r w:rsidDel="00000000" w:rsidR="00000000" w:rsidRPr="00000000">
        <w:rPr>
          <w:rtl w:val="0"/>
        </w:rPr>
      </w:r>
    </w:p>
    <w:p w:rsidR="00000000" w:rsidDel="00000000" w:rsidP="00000000" w:rsidRDefault="00000000" w:rsidRPr="00000000" w14:paraId="00000009">
      <w:pPr>
        <w:spacing w:after="40" w:before="0" w:line="360" w:lineRule="auto"/>
        <w:jc w:val="left"/>
        <w:rPr/>
      </w:pPr>
      <w:r w:rsidDel="00000000" w:rsidR="00000000" w:rsidRPr="00000000">
        <w:rPr>
          <w:rFonts w:ascii="Arial" w:cs="Arial" w:eastAsia="Arial" w:hAnsi="Arial"/>
          <w:b w:val="1"/>
          <w:bCs w:val="1"/>
          <w:color w:val="000000"/>
          <w:sz w:val="24"/>
          <w:szCs w:val="24"/>
          <w:rtl w:val="0"/>
        </w:rPr>
        <w:t xml:space="preserve">Integrantes y Asignación de Roles:</w:t>
      </w:r>
      <w:r w:rsidDel="00000000" w:rsidR="00000000" w:rsidRPr="00000000">
        <w:rPr>
          <w:rtl w:val="0"/>
        </w:rPr>
      </w:r>
    </w:p>
    <w:p w:rsidR="00000000" w:rsidDel="00000000" w:rsidP="00000000" w:rsidRDefault="00000000" w:rsidRPr="00000000" w14:paraId="0000000A">
      <w:pPr>
        <w:spacing w:after="40" w:before="0" w:line="360" w:lineRule="auto"/>
        <w:jc w:val="left"/>
        <w:rPr/>
      </w:pP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Sebastián Rojas - Encargado de Módulo ProductClient</w:t>
      </w:r>
      <w:r w:rsidDel="00000000" w:rsidR="00000000" w:rsidRPr="00000000">
        <w:rPr>
          <w:rtl w:val="0"/>
        </w:rPr>
      </w:r>
    </w:p>
    <w:p w:rsidR="00000000" w:rsidDel="00000000" w:rsidP="00000000" w:rsidRDefault="00000000" w:rsidRPr="00000000" w14:paraId="0000000B">
      <w:pPr>
        <w:spacing w:after="40" w:before="0" w:line="360" w:lineRule="auto"/>
        <w:jc w:val="left"/>
        <w:rPr/>
      </w:pP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Matías Barrios - Encargado de Módulo ProductBiss POS</w:t>
      </w:r>
      <w:r w:rsidDel="00000000" w:rsidR="00000000" w:rsidRPr="00000000">
        <w:rPr>
          <w:rtl w:val="0"/>
        </w:rPr>
      </w:r>
    </w:p>
    <w:p w:rsidR="00000000" w:rsidDel="00000000" w:rsidP="00000000" w:rsidRDefault="00000000" w:rsidRPr="00000000" w14:paraId="0000000C">
      <w:pPr>
        <w:spacing w:after="480" w:before="0" w:line="360" w:lineRule="auto"/>
        <w:jc w:val="left"/>
        <w:rPr/>
      </w:pP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Fernando Balagué - Encargado de Módulo ProductAdmin</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20" w:before="280" w:lineRule="auto"/>
        <w:jc w:val="left"/>
        <w:rPr/>
      </w:pPr>
      <w:r w:rsidDel="00000000" w:rsidR="00000000" w:rsidRPr="00000000">
        <w:rPr>
          <w:rFonts w:ascii="Arial" w:cs="Arial" w:eastAsia="Arial" w:hAnsi="Arial"/>
          <w:b w:val="1"/>
          <w:bCs w:val="1"/>
          <w:color w:val="000000"/>
          <w:sz w:val="26"/>
          <w:szCs w:val="26"/>
          <w:rtl w:val="0"/>
        </w:rPr>
        <w:t xml:space="preserve">ÍNDICE</w:t>
      </w:r>
      <w:r w:rsidDel="00000000" w:rsidR="00000000" w:rsidRPr="00000000">
        <w:rPr>
          <w:rtl w:val="0"/>
        </w:rPr>
      </w:r>
    </w:p>
    <w:p w:rsidR="00000000" w:rsidDel="00000000" w:rsidP="00000000" w:rsidRDefault="00000000" w:rsidRPr="00000000" w14:paraId="0000000F">
      <w:pPr>
        <w:spacing w:after="120" w:before="0" w:line="360" w:lineRule="auto"/>
        <w:jc w:val="both"/>
        <w:rPr/>
      </w:pPr>
      <w:r w:rsidDel="00000000" w:rsidR="00000000" w:rsidRPr="00000000">
        <w:rPr>
          <w:rFonts w:ascii="Arial" w:cs="Arial" w:eastAsia="Arial" w:hAnsi="Arial"/>
          <w:color w:val="000000"/>
          <w:sz w:val="24"/>
          <w:szCs w:val="24"/>
          <w:rtl w:val="0"/>
        </w:rPr>
        <w:t xml:space="preserve">1. Abstract (Resumen Ejecutivo)</w:t>
      </w:r>
      <w:r w:rsidDel="00000000" w:rsidR="00000000" w:rsidRPr="00000000">
        <w:rPr>
          <w:rtl w:val="0"/>
        </w:rPr>
      </w:r>
    </w:p>
    <w:p w:rsidR="00000000" w:rsidDel="00000000" w:rsidP="00000000" w:rsidRDefault="00000000" w:rsidRPr="00000000" w14:paraId="00000010">
      <w:pPr>
        <w:spacing w:after="120" w:before="0" w:line="360" w:lineRule="auto"/>
        <w:jc w:val="both"/>
        <w:rPr/>
      </w:pPr>
      <w:r w:rsidDel="00000000" w:rsidR="00000000" w:rsidRPr="00000000">
        <w:rPr>
          <w:rFonts w:ascii="Arial" w:cs="Arial" w:eastAsia="Arial" w:hAnsi="Arial"/>
          <w:color w:val="000000"/>
          <w:sz w:val="24"/>
          <w:szCs w:val="24"/>
          <w:rtl w:val="0"/>
        </w:rPr>
        <w:t xml:space="preserve">2. Desarrollo de Ingeniería</w:t>
      </w:r>
      <w:r w:rsidDel="00000000" w:rsidR="00000000" w:rsidRPr="00000000">
        <w:rPr>
          <w:rtl w:val="0"/>
        </w:rPr>
      </w:r>
    </w:p>
    <w:p w:rsidR="00000000" w:rsidDel="00000000" w:rsidP="00000000" w:rsidRDefault="00000000" w:rsidRPr="00000000" w14:paraId="00000011">
      <w:pPr>
        <w:spacing w:after="120" w:before="0" w:line="360" w:lineRule="auto"/>
        <w:jc w:val="both"/>
        <w:rPr/>
      </w:pPr>
      <w:r w:rsidDel="00000000" w:rsidR="00000000" w:rsidRPr="00000000">
        <w:rPr>
          <w:rFonts w:ascii="Arial" w:cs="Arial" w:eastAsia="Arial" w:hAnsi="Arial"/>
          <w:color w:val="000000"/>
          <w:sz w:val="24"/>
          <w:szCs w:val="24"/>
          <w:rtl w:val="0"/>
        </w:rPr>
        <w:t xml:space="preserve">   2.1 Descripción Breve del Proyecto APT y Justificación de Relevancia Laboral</w:t>
      </w:r>
      <w:r w:rsidDel="00000000" w:rsidR="00000000" w:rsidRPr="00000000">
        <w:rPr>
          <w:rtl w:val="0"/>
        </w:rPr>
      </w:r>
    </w:p>
    <w:p w:rsidR="00000000" w:rsidDel="00000000" w:rsidP="00000000" w:rsidRDefault="00000000" w:rsidRPr="00000000" w14:paraId="00000012">
      <w:pPr>
        <w:spacing w:after="120" w:before="0" w:line="360" w:lineRule="auto"/>
        <w:jc w:val="both"/>
        <w:rPr/>
      </w:pPr>
      <w:r w:rsidDel="00000000" w:rsidR="00000000" w:rsidRPr="00000000">
        <w:rPr>
          <w:rFonts w:ascii="Arial" w:cs="Arial" w:eastAsia="Arial" w:hAnsi="Arial"/>
          <w:color w:val="000000"/>
          <w:sz w:val="24"/>
          <w:szCs w:val="24"/>
          <w:rtl w:val="0"/>
        </w:rPr>
        <w:t xml:space="preserve">   2.2 Relación del Proyecto APT con las Competencias del Perfil de Egreso</w:t>
      </w:r>
      <w:r w:rsidDel="00000000" w:rsidR="00000000" w:rsidRPr="00000000">
        <w:rPr>
          <w:rtl w:val="0"/>
        </w:rPr>
      </w:r>
    </w:p>
    <w:p w:rsidR="00000000" w:rsidDel="00000000" w:rsidP="00000000" w:rsidRDefault="00000000" w:rsidRPr="00000000" w14:paraId="00000013">
      <w:pPr>
        <w:spacing w:after="120" w:before="0" w:line="360" w:lineRule="auto"/>
        <w:jc w:val="both"/>
        <w:rPr/>
      </w:pPr>
      <w:r w:rsidDel="00000000" w:rsidR="00000000" w:rsidRPr="00000000">
        <w:rPr>
          <w:rFonts w:ascii="Arial" w:cs="Arial" w:eastAsia="Arial" w:hAnsi="Arial"/>
          <w:color w:val="000000"/>
          <w:sz w:val="24"/>
          <w:szCs w:val="24"/>
          <w:rtl w:val="0"/>
        </w:rPr>
        <w:t xml:space="preserve">   2.3 Relación del Proyecto APT con los Intereses Profesionales</w:t>
      </w:r>
      <w:r w:rsidDel="00000000" w:rsidR="00000000" w:rsidRPr="00000000">
        <w:rPr>
          <w:rtl w:val="0"/>
        </w:rPr>
      </w:r>
    </w:p>
    <w:p w:rsidR="00000000" w:rsidDel="00000000" w:rsidP="00000000" w:rsidRDefault="00000000" w:rsidRPr="00000000" w14:paraId="00000014">
      <w:pPr>
        <w:spacing w:after="120" w:before="0" w:line="360" w:lineRule="auto"/>
        <w:jc w:val="both"/>
        <w:rPr/>
      </w:pPr>
      <w:r w:rsidDel="00000000" w:rsidR="00000000" w:rsidRPr="00000000">
        <w:rPr>
          <w:rFonts w:ascii="Arial" w:cs="Arial" w:eastAsia="Arial" w:hAnsi="Arial"/>
          <w:color w:val="000000"/>
          <w:sz w:val="24"/>
          <w:szCs w:val="24"/>
          <w:rtl w:val="0"/>
        </w:rPr>
        <w:t xml:space="preserve">   2.4 Argumentación de Factibilidad en el Marco de la Asignatura y Mitigación de Riesgos</w:t>
      </w:r>
      <w:r w:rsidDel="00000000" w:rsidR="00000000" w:rsidRPr="00000000">
        <w:rPr>
          <w:rtl w:val="0"/>
        </w:rPr>
      </w:r>
    </w:p>
    <w:p w:rsidR="00000000" w:rsidDel="00000000" w:rsidP="00000000" w:rsidRDefault="00000000" w:rsidRPr="00000000" w14:paraId="00000015">
      <w:pPr>
        <w:spacing w:after="120" w:before="0" w:line="360" w:lineRule="auto"/>
        <w:jc w:val="both"/>
        <w:rPr/>
      </w:pPr>
      <w:r w:rsidDel="00000000" w:rsidR="00000000" w:rsidRPr="00000000">
        <w:rPr>
          <w:rFonts w:ascii="Arial" w:cs="Arial" w:eastAsia="Arial" w:hAnsi="Arial"/>
          <w:color w:val="000000"/>
          <w:sz w:val="24"/>
          <w:szCs w:val="24"/>
          <w:rtl w:val="0"/>
        </w:rPr>
        <w:t xml:space="preserve">   2.5 Cumplimiento de Indicadores de Calidad Disciplinarios</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rFonts w:ascii="Arial" w:cs="Arial" w:eastAsia="Arial" w:hAnsi="Arial"/>
          <w:color w:val="000000"/>
          <w:sz w:val="24"/>
          <w:szCs w:val="24"/>
          <w:rtl w:val="0"/>
        </w:rPr>
        <w:t xml:space="preserve">3. Conclusiones Individuales</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rFonts w:ascii="Arial" w:cs="Arial" w:eastAsia="Arial" w:hAnsi="Arial"/>
          <w:color w:val="000000"/>
          <w:sz w:val="24"/>
          <w:szCs w:val="24"/>
          <w:rtl w:val="0"/>
        </w:rPr>
        <w:t xml:space="preserve">   3.1 Conclusión Individual: Sebastián Rojas (ProductClient)</w:t>
      </w:r>
      <w:r w:rsidDel="00000000" w:rsidR="00000000" w:rsidRPr="00000000">
        <w:rPr>
          <w:rtl w:val="0"/>
        </w:rPr>
      </w:r>
    </w:p>
    <w:p w:rsidR="00000000" w:rsidDel="00000000" w:rsidP="00000000" w:rsidRDefault="00000000" w:rsidRPr="00000000" w14:paraId="00000018">
      <w:pPr>
        <w:spacing w:after="120" w:before="0" w:line="360" w:lineRule="auto"/>
        <w:jc w:val="both"/>
        <w:rPr/>
      </w:pPr>
      <w:r w:rsidDel="00000000" w:rsidR="00000000" w:rsidRPr="00000000">
        <w:rPr>
          <w:rFonts w:ascii="Arial" w:cs="Arial" w:eastAsia="Arial" w:hAnsi="Arial"/>
          <w:color w:val="000000"/>
          <w:sz w:val="24"/>
          <w:szCs w:val="24"/>
          <w:rtl w:val="0"/>
        </w:rPr>
        <w:t xml:space="preserve">   3.2 Conclusión Individual: Matías Barrios (ProductBiss POS)</w:t>
      </w:r>
      <w:r w:rsidDel="00000000" w:rsidR="00000000" w:rsidRPr="00000000">
        <w:rPr>
          <w:rtl w:val="0"/>
        </w:rPr>
      </w:r>
    </w:p>
    <w:p w:rsidR="00000000" w:rsidDel="00000000" w:rsidP="00000000" w:rsidRDefault="00000000" w:rsidRPr="00000000" w14:paraId="00000019">
      <w:pPr>
        <w:spacing w:after="120" w:before="0" w:line="360" w:lineRule="auto"/>
        <w:jc w:val="both"/>
        <w:rPr/>
      </w:pPr>
      <w:r w:rsidDel="00000000" w:rsidR="00000000" w:rsidRPr="00000000">
        <w:rPr>
          <w:rFonts w:ascii="Arial" w:cs="Arial" w:eastAsia="Arial" w:hAnsi="Arial"/>
          <w:color w:val="000000"/>
          <w:sz w:val="24"/>
          <w:szCs w:val="24"/>
          <w:rtl w:val="0"/>
        </w:rPr>
        <w:t xml:space="preserve">   3.3 Conclusión Individual: Fernando Balagué (ProductAdmin)</w:t>
      </w:r>
      <w:r w:rsidDel="00000000" w:rsidR="00000000" w:rsidRPr="00000000">
        <w:rPr>
          <w:rtl w:val="0"/>
        </w:rPr>
      </w:r>
    </w:p>
    <w:p w:rsidR="00000000" w:rsidDel="00000000" w:rsidP="00000000" w:rsidRDefault="00000000" w:rsidRPr="00000000" w14:paraId="0000001A">
      <w:pPr>
        <w:spacing w:after="120" w:before="0" w:line="360" w:lineRule="auto"/>
        <w:jc w:val="both"/>
        <w:rPr/>
      </w:pPr>
      <w:r w:rsidDel="00000000" w:rsidR="00000000" w:rsidRPr="00000000">
        <w:rPr>
          <w:rFonts w:ascii="Arial" w:cs="Arial" w:eastAsia="Arial" w:hAnsi="Arial"/>
          <w:color w:val="000000"/>
          <w:sz w:val="24"/>
          <w:szCs w:val="24"/>
          <w:rtl w:val="0"/>
        </w:rPr>
        <w:t xml:space="preserve">4. Reflexión Grupal</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rFonts w:ascii="Arial" w:cs="Arial" w:eastAsia="Arial" w:hAnsi="Arial"/>
          <w:color w:val="000000"/>
          <w:sz w:val="24"/>
          <w:szCs w:val="24"/>
          <w:rtl w:val="0"/>
        </w:rPr>
        <w:t xml:space="preserve">5. Bibliografía y Fuentes de Referencia</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20" w:before="280" w:lineRule="auto"/>
        <w:jc w:val="left"/>
        <w:rPr>
          <w:b w:val="1"/>
          <w:bCs w:val="1"/>
          <w:sz w:val="26"/>
          <w:szCs w:val="26"/>
        </w:rPr>
      </w:pPr>
      <w:r w:rsidDel="00000000" w:rsidR="00000000" w:rsidRPr="00000000">
        <w:rPr>
          <w:rFonts w:ascii="Arial" w:cs="Arial" w:eastAsia="Arial" w:hAnsi="Arial"/>
          <w:b w:val="1"/>
          <w:bCs w:val="1"/>
          <w:color w:val="000000"/>
          <w:sz w:val="26"/>
          <w:szCs w:val="26"/>
          <w:rtl w:val="0"/>
        </w:rPr>
        <w:t xml:space="preserve">1. RESUMEN EJECUTIVO</w:t>
      </w:r>
      <w:r w:rsidDel="00000000" w:rsidR="00000000" w:rsidRPr="00000000">
        <w:rPr>
          <w:rtl w:val="0"/>
        </w:rPr>
      </w:r>
    </w:p>
    <w:p w:rsidR="00000000" w:rsidDel="00000000" w:rsidP="00000000" w:rsidRDefault="00000000" w:rsidRPr="00000000" w14:paraId="0000001E">
      <w:pPr>
        <w:spacing w:after="120" w:before="280" w:lineRule="auto"/>
        <w:jc w:val="left"/>
        <w:rPr/>
      </w:pPr>
      <w:r w:rsidDel="00000000" w:rsidR="00000000" w:rsidRPr="00000000">
        <w:rPr>
          <w:rFonts w:ascii="Arial" w:cs="Arial" w:eastAsia="Arial" w:hAnsi="Arial"/>
          <w:color w:val="000000"/>
          <w:sz w:val="24"/>
          <w:szCs w:val="24"/>
          <w:rtl w:val="0"/>
        </w:rPr>
        <w:t xml:space="preserve">El proyecto ProductBiss consiste en el diseño, desarrollo e integración de una suite de software de punto de venta (POS) y administración comercial modular multinquilino orientada al sector minorista y gastronómico. La solución desacopla la operativa mediante tres aplicaciones frontales complementarias que consumen un backend unificado: ProductClient, aplicación web orientada al dueño del negocio para la gestión multisucursal de catálogos, listas de precios, cargas masivas de inventario en Excel y métricas de venta; ProductBiss POS, terminal de facturación y cobro rápido multiplataforma (escritorio en Electron, web y móvil) con capacidad de operación offline autónoma de hasta 5 días, base de datos local en SQLite, cola de sincronización idempotente y soporte de impresión térmica ESC/POS directa; y ProductAdmin, consola directiva para el administrador global de la plataforma que centraliza la creación de planes, límites de terminales por sucursal (max_cajas), habilitación de tiendas online QR con integración a Mercado Pago, impersonación para diagnóstico y auditoría forense conforme a la Ley 21.719 de protección de datos personales. La solución opera bajo la premisa explícita de prescindir de facturación electrónica (sin DTE/SII), focalizando su valor técnico en la resiliencia operativa, la alta disponibilidad en caja y la integridad de datos entre plataformas distribuidas.</w:t>
      </w:r>
      <w:r w:rsidDel="00000000" w:rsidR="00000000" w:rsidRPr="00000000">
        <w:rPr>
          <w:rtl w:val="0"/>
        </w:rPr>
      </w:r>
    </w:p>
    <w:p w:rsidR="00000000" w:rsidDel="00000000" w:rsidP="00000000" w:rsidRDefault="00000000" w:rsidRPr="00000000" w14:paraId="0000001F">
      <w:pPr>
        <w:spacing w:after="120" w:before="280" w:lineRule="auto"/>
        <w:jc w:val="left"/>
        <w:rPr/>
      </w:pPr>
      <w:r w:rsidDel="00000000" w:rsidR="00000000" w:rsidRPr="00000000">
        <w:rPr>
          <w:rFonts w:ascii="Arial" w:cs="Arial" w:eastAsia="Arial" w:hAnsi="Arial"/>
          <w:b w:val="1"/>
          <w:bCs w:val="1"/>
          <w:color w:val="000000"/>
          <w:sz w:val="26"/>
          <w:szCs w:val="26"/>
          <w:rtl w:val="0"/>
        </w:rPr>
        <w:t xml:space="preserve">2. DESARROLLO DE INGENIERÍA</w:t>
      </w:r>
      <w:r w:rsidDel="00000000" w:rsidR="00000000" w:rsidRPr="00000000">
        <w:rPr>
          <w:rtl w:val="0"/>
        </w:rPr>
      </w:r>
    </w:p>
    <w:p w:rsidR="00000000" w:rsidDel="00000000" w:rsidP="00000000" w:rsidRDefault="00000000" w:rsidRPr="00000000" w14:paraId="00000020">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2.1 Descripción Breve del Proyecto APT y Justificación de Relevancia Laboral</w:t>
      </w:r>
      <w:r w:rsidDel="00000000" w:rsidR="00000000" w:rsidRPr="00000000">
        <w:rPr>
          <w:rtl w:val="0"/>
        </w:rPr>
      </w:r>
    </w:p>
    <w:p w:rsidR="00000000" w:rsidDel="00000000" w:rsidP="00000000" w:rsidRDefault="00000000" w:rsidRPr="00000000" w14:paraId="00000021">
      <w:pPr>
        <w:spacing w:after="120" w:before="0" w:line="360" w:lineRule="auto"/>
        <w:jc w:val="both"/>
        <w:rPr/>
      </w:pPr>
      <w:r w:rsidDel="00000000" w:rsidR="00000000" w:rsidRPr="00000000">
        <w:rPr>
          <w:rFonts w:ascii="Arial" w:cs="Arial" w:eastAsia="Arial" w:hAnsi="Arial"/>
          <w:color w:val="000000"/>
          <w:sz w:val="24"/>
          <w:szCs w:val="24"/>
          <w:rtl w:val="0"/>
        </w:rPr>
        <w:t xml:space="preserve">En el sector del comercio minorista y gastronómico, las interrupciones en la conectividad a internet y la dispersión de herramientas de control de inventario representan una causa crítica de pérdidas económicas y lentitud en la atención. ProductBiss aborda este problema estructurando un ecosistema integral dividido en tres aplicaciones cliente:</w:t>
      </w:r>
      <w:r w:rsidDel="00000000" w:rsidR="00000000" w:rsidRPr="00000000">
        <w:rPr>
          <w:rtl w:val="0"/>
        </w:rPr>
      </w:r>
    </w:p>
    <w:p w:rsidR="00000000" w:rsidDel="00000000" w:rsidP="00000000" w:rsidRDefault="00000000" w:rsidRPr="00000000" w14:paraId="00000022">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a) ProductClient (a cargo de Sebastián Rojas): </w:t>
      </w:r>
      <w:r w:rsidDel="00000000" w:rsidR="00000000" w:rsidRPr="00000000">
        <w:rPr>
          <w:rFonts w:ascii="Arial" w:cs="Arial" w:eastAsia="Arial" w:hAnsi="Arial"/>
          <w:color w:val="000000"/>
          <w:sz w:val="24"/>
          <w:szCs w:val="24"/>
          <w:rtl w:val="0"/>
        </w:rPr>
        <w:t xml:space="preserve">Aplicación web desarrollada en Vue 3 (Composition API), Vite y Pinia. Permite al dueño administrar de forma centralizada una o múltiples sucursales a través de un selector de alcance persistente. Incorpora la gestión del catálogo maestro, grilla matricial de precios y stock por sucursal, motor de promociones (porcentuales, monto fijo, NxM y combos), procesamiento de cargas masivas de inventario mediante archivos Excel con actualizaciones relativas (+N/-N) y visualización de indicadores clave (KPIs) con reportería avanzada.</w:t>
      </w:r>
      <w:r w:rsidDel="00000000" w:rsidR="00000000" w:rsidRPr="00000000">
        <w:rPr>
          <w:rtl w:val="0"/>
        </w:rPr>
      </w:r>
    </w:p>
    <w:p w:rsidR="00000000" w:rsidDel="00000000" w:rsidP="00000000" w:rsidRDefault="00000000" w:rsidRPr="00000000" w14:paraId="00000023">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b) ProductBiss POS (a cargo de Matías Barrios): </w:t>
      </w:r>
      <w:r w:rsidDel="00000000" w:rsidR="00000000" w:rsidRPr="00000000">
        <w:rPr>
          <w:rFonts w:ascii="Arial" w:cs="Arial" w:eastAsia="Arial" w:hAnsi="Arial"/>
          <w:color w:val="000000"/>
          <w:sz w:val="24"/>
          <w:szCs w:val="24"/>
          <w:rtl w:val="0"/>
        </w:rPr>
        <w:t xml:space="preserve">Terminal de ventas y cobro para cajeros y dueños, construido sobre Vue 3 y empaquetado como aplicación de escritorio mediante Electron (formato de referencia), con soporte web y móvil vía Capacitor. Su principal fortaleza técnica es la tolerancia total a fallos de conectividad: permite vender y operar caja de manera desconectada hasta por 5 días gracias a una base de datos local SQLite y una cola de mutaciones respaldada en JSON. Incluye soporte para pistolas lectoras de código de barras por emulación de teclado, pagos mixtos, autorización de descuentos por credencial del dueño y renderizado directo de comprobantes en impresoras térmicas ESC/POS (58mm y 80mm).</w:t>
      </w:r>
      <w:r w:rsidDel="00000000" w:rsidR="00000000" w:rsidRPr="00000000">
        <w:rPr>
          <w:rtl w:val="0"/>
        </w:rPr>
      </w:r>
    </w:p>
    <w:p w:rsidR="00000000" w:rsidDel="00000000" w:rsidP="00000000" w:rsidRDefault="00000000" w:rsidRPr="00000000" w14:paraId="00000024">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c) ProductAdmin (a cargo de Fernando Balagué): </w:t>
      </w:r>
      <w:r w:rsidDel="00000000" w:rsidR="00000000" w:rsidRPr="00000000">
        <w:rPr>
          <w:rFonts w:ascii="Arial" w:cs="Arial" w:eastAsia="Arial" w:hAnsi="Arial"/>
          <w:color w:val="000000"/>
          <w:sz w:val="24"/>
          <w:szCs w:val="24"/>
          <w:rtl w:val="0"/>
        </w:rPr>
        <w:t xml:space="preserve">Consola de administración global para el operador de la plataforma. Centraliza la creación y modificación de clientes, asignación de planes comerciales, parametrización de cajas concurrentes por sucursal (max_cajas) y configuración exclusiva de catálogos y pedidos QR (validando credenciales de Mercado Pago y cartas en formato PDF). Asimismo, provee herramientas de soporte como la impersonación de cuentas con registro inmutable de acciones y una bitácora de auditoría histórica y en tiempo real adaptada a las exigencias normativas de la Ley 21.719.</w:t>
      </w:r>
      <w:r w:rsidDel="00000000" w:rsidR="00000000" w:rsidRPr="00000000">
        <w:rPr>
          <w:rtl w:val="0"/>
        </w:rPr>
      </w:r>
    </w:p>
    <w:p w:rsidR="00000000" w:rsidDel="00000000" w:rsidP="00000000" w:rsidRDefault="00000000" w:rsidRPr="00000000" w14:paraId="00000025">
      <w:pPr>
        <w:spacing w:after="120" w:before="0" w:line="360" w:lineRule="auto"/>
        <w:jc w:val="both"/>
        <w:rPr/>
      </w:pPr>
      <w:r w:rsidDel="00000000" w:rsidR="00000000" w:rsidRPr="00000000">
        <w:rPr>
          <w:rFonts w:ascii="Arial" w:cs="Arial" w:eastAsia="Arial" w:hAnsi="Arial"/>
          <w:color w:val="000000"/>
          <w:sz w:val="24"/>
          <w:szCs w:val="24"/>
          <w:rtl w:val="0"/>
        </w:rPr>
        <w:t xml:space="preserve">Relevancia para el campo laboral: El proyecto enfrenta al equipo a estándares de desarrollo industrial contemporáneos, tales como el consumo de APIs REST desacopladas, la implementación de flujos de identidad basados en OpenID Connect (OIDC) con Keycloak y autenticación multifactor (MFA), el manejo de persistencia local resiliente, el diseño de interfaces empresariales de alta densidad de información (paleta monocromática azul marino, bordes rectos y Bootstrap Icons) y la resolución algorítmica de conflictos de concurrencia en sistemas distribuidos.</w:t>
      </w:r>
      <w:r w:rsidDel="00000000" w:rsidR="00000000" w:rsidRPr="00000000">
        <w:rPr>
          <w:rtl w:val="0"/>
        </w:rPr>
      </w:r>
    </w:p>
    <w:p w:rsidR="00000000" w:rsidDel="00000000" w:rsidP="00000000" w:rsidRDefault="00000000" w:rsidRPr="00000000" w14:paraId="00000026">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2.2 Relación del Proyecto APT con las Competencias del Perfil de Egreso</w:t>
      </w:r>
      <w:r w:rsidDel="00000000" w:rsidR="00000000" w:rsidRPr="00000000">
        <w:rPr>
          <w:rtl w:val="0"/>
        </w:rPr>
      </w:r>
    </w:p>
    <w:p w:rsidR="00000000" w:rsidDel="00000000" w:rsidP="00000000" w:rsidRDefault="00000000" w:rsidRPr="00000000" w14:paraId="00000027">
      <w:pPr>
        <w:spacing w:after="120" w:before="0" w:line="360" w:lineRule="auto"/>
        <w:jc w:val="both"/>
        <w:rPr/>
      </w:pPr>
      <w:r w:rsidDel="00000000" w:rsidR="00000000" w:rsidRPr="00000000">
        <w:rPr>
          <w:rFonts w:ascii="Arial" w:cs="Arial" w:eastAsia="Arial" w:hAnsi="Arial"/>
          <w:color w:val="000000"/>
          <w:sz w:val="24"/>
          <w:szCs w:val="24"/>
          <w:rtl w:val="0"/>
        </w:rPr>
        <w:t xml:space="preserve">El proyecto integra las cuatro competencias del perfil de egreso establecidas en el plan de estudios:</w:t>
      </w:r>
      <w:r w:rsidDel="00000000" w:rsidR="00000000" w:rsidRPr="00000000">
        <w:rPr>
          <w:rtl w:val="0"/>
        </w:rPr>
      </w:r>
    </w:p>
    <w:p w:rsidR="00000000" w:rsidDel="00000000" w:rsidP="00000000" w:rsidRDefault="00000000" w:rsidRPr="00000000" w14:paraId="00000028">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1. Realizar pruebas de certificación de productos y procesos: </w:t>
      </w:r>
      <w:r w:rsidDel="00000000" w:rsidR="00000000" w:rsidRPr="00000000">
        <w:rPr>
          <w:rFonts w:ascii="Arial" w:cs="Arial" w:eastAsia="Arial" w:hAnsi="Arial"/>
          <w:color w:val="000000"/>
          <w:sz w:val="24"/>
          <w:szCs w:val="24"/>
          <w:rtl w:val="0"/>
        </w:rPr>
        <w:t xml:space="preserve">Se diseñan planes de pruebas E2E y unitarias para verificar la integridad del cobro en caja, la deducción atómica de existencias, la validación de archivos Excel de inventario y el comportamiento de la cola de sincronización ante interrupciones de red simuladas contra el backend de QA local. Las fallas detectadas se corrigen mediante mecanismos de reintento idempotente basados en identificadores UUID.</w:t>
      </w:r>
      <w:r w:rsidDel="00000000" w:rsidR="00000000" w:rsidRPr="00000000">
        <w:rPr>
          <w:rtl w:val="0"/>
        </w:rPr>
      </w:r>
    </w:p>
    <w:p w:rsidR="00000000" w:rsidDel="00000000" w:rsidP="00000000" w:rsidRDefault="00000000" w:rsidRPr="00000000" w14:paraId="00000029">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2. Gestionar proyectos informáticos: </w:t>
      </w:r>
      <w:r w:rsidDel="00000000" w:rsidR="00000000" w:rsidRPr="00000000">
        <w:rPr>
          <w:rFonts w:ascii="Arial" w:cs="Arial" w:eastAsia="Arial" w:hAnsi="Arial"/>
          <w:color w:val="000000"/>
          <w:sz w:val="24"/>
          <w:szCs w:val="24"/>
          <w:rtl w:val="0"/>
        </w:rPr>
        <w:t xml:space="preserve">El ciclo de trabajo se planifica y controla en un horizonte de 12 semanas lectivas. Se define una lista rigurosa de criterios de aceptación (Definition of Done) para cada módulo, asegurando la priorización del núcleo transaccional (Venta, Caja, Catálogo y Usuarios) por sobre componentes analíticos secundarios ante posibles desfases en los plazos.</w:t>
      </w:r>
      <w:r w:rsidDel="00000000" w:rsidR="00000000" w:rsidRPr="00000000">
        <w:rPr>
          <w:rtl w:val="0"/>
        </w:rPr>
      </w:r>
    </w:p>
    <w:p w:rsidR="00000000" w:rsidDel="00000000" w:rsidP="00000000" w:rsidRDefault="00000000" w:rsidRPr="00000000" w14:paraId="0000002A">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3. Construir modelos de datos escalables: </w:t>
      </w:r>
      <w:r w:rsidDel="00000000" w:rsidR="00000000" w:rsidRPr="00000000">
        <w:rPr>
          <w:rFonts w:ascii="Arial" w:cs="Arial" w:eastAsia="Arial" w:hAnsi="Arial"/>
          <w:color w:val="000000"/>
          <w:sz w:val="24"/>
          <w:szCs w:val="24"/>
          <w:rtl w:val="0"/>
        </w:rPr>
        <w:t xml:space="preserve">Se implementa un modelo de datos multinquilino relacional en el servidor y un modelo relacional local en SQLite para el POS. Este último almacena snapshots de lectura y la tabla transaccional 'sync_operacion', asegurando tiempos de consulta mínimos mediante índices especializados para códigos de barra y claves SKU.</w:t>
      </w:r>
      <w:r w:rsidDel="00000000" w:rsidR="00000000" w:rsidRPr="00000000">
        <w:rPr>
          <w:rtl w:val="0"/>
        </w:rPr>
      </w:r>
    </w:p>
    <w:p w:rsidR="00000000" w:rsidDel="00000000" w:rsidP="00000000" w:rsidRDefault="00000000" w:rsidRPr="00000000" w14:paraId="0000002B">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4. Desarrollar soluciones de software sistematizadas: </w:t>
      </w:r>
      <w:r w:rsidDel="00000000" w:rsidR="00000000" w:rsidRPr="00000000">
        <w:rPr>
          <w:rFonts w:ascii="Arial" w:cs="Arial" w:eastAsia="Arial" w:hAnsi="Arial"/>
          <w:color w:val="000000"/>
          <w:sz w:val="24"/>
          <w:szCs w:val="24"/>
          <w:rtl w:val="0"/>
        </w:rPr>
        <w:t xml:space="preserve">Se desarrolla la solución utilizando Vue 3 con Composition API, gestores de estado reactivos Pinia y contenedores Electron/Capacitor. La integración se sistematiza mediante contratos de API REST congelados, control de versiones en Git y preparación para despliegues locales reproducibles.</w:t>
      </w:r>
      <w:r w:rsidDel="00000000" w:rsidR="00000000" w:rsidRPr="00000000">
        <w:rPr>
          <w:rtl w:val="0"/>
        </w:rPr>
      </w:r>
    </w:p>
    <w:p w:rsidR="00000000" w:rsidDel="00000000" w:rsidP="00000000" w:rsidRDefault="00000000" w:rsidRPr="00000000" w14:paraId="0000002C">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2.3 Relación del Proyecto APT con los Intereses Profesionales</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rFonts w:ascii="Arial" w:cs="Arial" w:eastAsia="Arial" w:hAnsi="Arial"/>
          <w:color w:val="000000"/>
          <w:sz w:val="24"/>
          <w:szCs w:val="24"/>
          <w:rtl w:val="0"/>
        </w:rPr>
        <w:t xml:space="preserve">La distribución de tareas responde a los intereses técnicos de cada integrante del equipo:</w:t>
      </w:r>
      <w:r w:rsidDel="00000000" w:rsidR="00000000" w:rsidRPr="00000000">
        <w:rPr>
          <w:rtl w:val="0"/>
        </w:rPr>
      </w:r>
    </w:p>
    <w:p w:rsidR="00000000" w:rsidDel="00000000" w:rsidP="00000000" w:rsidRDefault="00000000" w:rsidRPr="00000000" w14:paraId="0000002E">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Sebastián Rojas (Líder ProductClient): </w:t>
      </w:r>
      <w:r w:rsidDel="00000000" w:rsidR="00000000" w:rsidRPr="00000000">
        <w:rPr>
          <w:rFonts w:ascii="Arial" w:cs="Arial" w:eastAsia="Arial" w:hAnsi="Arial"/>
          <w:color w:val="000000"/>
          <w:sz w:val="24"/>
          <w:szCs w:val="24"/>
          <w:rtl w:val="0"/>
        </w:rPr>
        <w:t xml:space="preserve">Enfocado en el desarrollo frontend avanzado y el diseño de experiencias de usuario en sistemas empresariales B2B. En ProductClient aplica patrones reactivos de alta complejidad, diseño de selectores de ámbito persistentes, grillas matriciales para edición de precios en tiempo real y componentes de importación de datos masivos.</w:t>
      </w:r>
      <w:r w:rsidDel="00000000" w:rsidR="00000000" w:rsidRPr="00000000">
        <w:rPr>
          <w:rtl w:val="0"/>
        </w:rPr>
      </w:r>
    </w:p>
    <w:p w:rsidR="00000000" w:rsidDel="00000000" w:rsidP="00000000" w:rsidRDefault="00000000" w:rsidRPr="00000000" w14:paraId="0000002F">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Matías Barrios (Líder ProductBiss POS): </w:t>
      </w:r>
      <w:r w:rsidDel="00000000" w:rsidR="00000000" w:rsidRPr="00000000">
        <w:rPr>
          <w:rFonts w:ascii="Arial" w:cs="Arial" w:eastAsia="Arial" w:hAnsi="Arial"/>
          <w:color w:val="000000"/>
          <w:sz w:val="24"/>
          <w:szCs w:val="24"/>
          <w:rtl w:val="0"/>
        </w:rPr>
        <w:t xml:space="preserve">Orientado a la ingeniería de sistemas, arquitectura de software híbrido y la interacción directa con periféricos de hardware. En ProductBiss POS lidera el control de impresión térmica directa mediante secuencias ESC/POS, el almacenamiento local tolerante a caídas en SQLite y la sincronización de colas transaccionales con consistencia eventual.</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Fernando Balagué (Líder ProductAdmin): </w:t>
      </w:r>
      <w:r w:rsidDel="00000000" w:rsidR="00000000" w:rsidRPr="00000000">
        <w:rPr>
          <w:rFonts w:ascii="Arial" w:cs="Arial" w:eastAsia="Arial" w:hAnsi="Arial"/>
          <w:color w:val="000000"/>
          <w:sz w:val="24"/>
          <w:szCs w:val="24"/>
          <w:rtl w:val="0"/>
        </w:rPr>
        <w:t xml:space="preserve">Interesado en la ciberseguridad, la arquitectura de sistemas distribuidos y el cumplimiento legal de software. En ProductAdmin implementa esquemas de autenticación federada OIDC con doble factor (MFA), diseño de bitácoras de auditoría forense inmutables y adecuación del sistema a la Ley 21.719 sobre protección de datos.</w:t>
      </w:r>
      <w:r w:rsidDel="00000000" w:rsidR="00000000" w:rsidRPr="00000000">
        <w:rPr>
          <w:rtl w:val="0"/>
        </w:rPr>
      </w:r>
    </w:p>
    <w:p w:rsidR="00000000" w:rsidDel="00000000" w:rsidP="00000000" w:rsidRDefault="00000000" w:rsidRPr="00000000" w14:paraId="00000031">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2.4 Argumentación de Factibilidad en el Marco de la Asignatura y Mitigación de Riesgos</w:t>
      </w:r>
      <w:r w:rsidDel="00000000" w:rsidR="00000000" w:rsidRPr="00000000">
        <w:rPr>
          <w:rtl w:val="0"/>
        </w:rPr>
      </w:r>
    </w:p>
    <w:p w:rsidR="00000000" w:rsidDel="00000000" w:rsidP="00000000" w:rsidRDefault="00000000" w:rsidRPr="00000000" w14:paraId="00000032">
      <w:pPr>
        <w:spacing w:after="120" w:before="0" w:line="360" w:lineRule="auto"/>
        <w:jc w:val="both"/>
        <w:rPr/>
      </w:pPr>
      <w:r w:rsidDel="00000000" w:rsidR="00000000" w:rsidRPr="00000000">
        <w:rPr>
          <w:rFonts w:ascii="Arial" w:cs="Arial" w:eastAsia="Arial" w:hAnsi="Arial"/>
          <w:color w:val="000000"/>
          <w:sz w:val="24"/>
          <w:szCs w:val="24"/>
          <w:rtl w:val="0"/>
        </w:rPr>
        <w:t xml:space="preserve">El proyecto resulta plenamente factible de ser completado durante el semestre considerando los siguientes factores:</w:t>
      </w:r>
      <w:r w:rsidDel="00000000" w:rsidR="00000000" w:rsidRPr="00000000">
        <w:rPr>
          <w:rtl w:val="0"/>
        </w:rPr>
      </w:r>
    </w:p>
    <w:p w:rsidR="00000000" w:rsidDel="00000000" w:rsidP="00000000" w:rsidRDefault="00000000" w:rsidRPr="00000000" w14:paraId="00000033">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Factibilidad Temporal: </w:t>
      </w:r>
      <w:r w:rsidDel="00000000" w:rsidR="00000000" w:rsidRPr="00000000">
        <w:rPr>
          <w:rFonts w:ascii="Arial" w:cs="Arial" w:eastAsia="Arial" w:hAnsi="Arial"/>
          <w:color w:val="000000"/>
          <w:sz w:val="24"/>
          <w:szCs w:val="24"/>
          <w:rtl w:val="0"/>
        </w:rPr>
        <w:t xml:space="preserve">El cronograma comprende 12 semanas de desarrollo (del 8 de septiembre al 30 de noviembre de 2026). Las primeras semanas se enfocan en el andamiaje técnico y la autenticación, las semanas intermedias en la lógica de venta, inventario y administración, y las semanas finales en la sincronización, pruebas y entrega.</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Factibilidad de Materiales y Recursos: </w:t>
      </w:r>
      <w:r w:rsidDel="00000000" w:rsidR="00000000" w:rsidRPr="00000000">
        <w:rPr>
          <w:rFonts w:ascii="Arial" w:cs="Arial" w:eastAsia="Arial" w:hAnsi="Arial"/>
          <w:color w:val="000000"/>
          <w:sz w:val="24"/>
          <w:szCs w:val="24"/>
          <w:rtl w:val="0"/>
        </w:rPr>
        <w:t xml:space="preserve">Se utilizan plataformas de uso libre y estándares abiertos (Node.js, Vue 3, Vite, SQLite, Keycloak, Bootstrap Icons). Las pruebas de hardware se ejecutan con lectores de códigos de barra USB estándar e impresoras térmicas de 58mm y 80mm disponibles en los laboratorios de Duoc UC.</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Factibilidad Operativa y Factores Externos: </w:t>
      </w:r>
      <w:r w:rsidDel="00000000" w:rsidR="00000000" w:rsidRPr="00000000">
        <w:rPr>
          <w:rFonts w:ascii="Arial" w:cs="Arial" w:eastAsia="Arial" w:hAnsi="Arial"/>
          <w:color w:val="000000"/>
          <w:sz w:val="24"/>
          <w:szCs w:val="24"/>
          <w:rtl w:val="0"/>
        </w:rPr>
        <w:t xml:space="preserve">Las tres aplicaciones consumen una API común. Para evitar bloqueos ante labores de mantenimiento en el backend, se definieron contratos de interfaz congelados y servicios locales simulados (mocking).</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 Estrategia de Mitigación y Contingencia: </w:t>
      </w:r>
      <w:r w:rsidDel="00000000" w:rsidR="00000000" w:rsidRPr="00000000">
        <w:rPr>
          <w:rFonts w:ascii="Arial" w:cs="Arial" w:eastAsia="Arial" w:hAnsi="Arial"/>
          <w:color w:val="000000"/>
          <w:sz w:val="24"/>
          <w:szCs w:val="24"/>
          <w:rtl w:val="0"/>
        </w:rPr>
        <w:t xml:space="preserve">Frente al riesgo de inconsistencias al reconectar el POS tras operar desconectado, se diseñó una bandeja explícita de resolución de conflictos manual compartida entre ProductClient y POS, permitiendo al usuario decidir qué cambio prevalece y registrando la autoría de la decisión. Frente a demoras en el empaquetado móvil o analítica con Machine Learning, se priorizó contractualmente el funcionamiento de la versión de escritorio en Electron y el catálogo maestro, asegurando la entrega del núcleo operativo esencial.</w:t>
      </w:r>
      <w:r w:rsidDel="00000000" w:rsidR="00000000" w:rsidRPr="00000000">
        <w:rPr>
          <w:rtl w:val="0"/>
        </w:rPr>
      </w:r>
    </w:p>
    <w:p w:rsidR="00000000" w:rsidDel="00000000" w:rsidP="00000000" w:rsidRDefault="00000000" w:rsidRPr="00000000" w14:paraId="00000037">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2.5 Cumplimiento de Indicadores de Calidad Disciplinarios</w:t>
      </w:r>
      <w:r w:rsidDel="00000000" w:rsidR="00000000" w:rsidRPr="00000000">
        <w:rPr>
          <w:rtl w:val="0"/>
        </w:rPr>
      </w:r>
    </w:p>
    <w:p w:rsidR="00000000" w:rsidDel="00000000" w:rsidP="00000000" w:rsidRDefault="00000000" w:rsidRPr="00000000" w14:paraId="00000038">
      <w:pPr>
        <w:spacing w:after="120" w:before="0" w:line="360" w:lineRule="auto"/>
        <w:jc w:val="both"/>
        <w:rPr/>
      </w:pPr>
      <w:r w:rsidDel="00000000" w:rsidR="00000000" w:rsidRPr="00000000">
        <w:rPr>
          <w:rFonts w:ascii="Arial" w:cs="Arial" w:eastAsia="Arial" w:hAnsi="Arial"/>
          <w:color w:val="000000"/>
          <w:sz w:val="24"/>
          <w:szCs w:val="24"/>
          <w:rtl w:val="0"/>
        </w:rPr>
        <w:t xml:space="preserve">La propuesta técnica incorpora los estándares de calidad disciplinarios de la industria informática:</w:t>
      </w:r>
      <w:r w:rsidDel="00000000" w:rsidR="00000000" w:rsidRPr="00000000">
        <w:rPr>
          <w:rtl w:val="0"/>
        </w:rPr>
      </w:r>
    </w:p>
    <w:p w:rsidR="00000000" w:rsidDel="00000000" w:rsidP="00000000" w:rsidRDefault="00000000" w:rsidRPr="00000000" w14:paraId="00000039">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a) Estándar Visual Corporativo: </w:t>
      </w:r>
      <w:r w:rsidDel="00000000" w:rsidR="00000000" w:rsidRPr="00000000">
        <w:rPr>
          <w:rFonts w:ascii="Arial" w:cs="Arial" w:eastAsia="Arial" w:hAnsi="Arial"/>
          <w:color w:val="000000"/>
          <w:sz w:val="24"/>
          <w:szCs w:val="24"/>
          <w:rtl w:val="0"/>
        </w:rPr>
        <w:t xml:space="preserve">Se implementa una guía visual estricta en base a una paleta azul marino monocromática (#1A365D), superficies planas, bordes rectos sin curvas marcadas, alta densidad de información para pantallas de caja y tabletas, iconografía exclusiva de Bootstrap Icons y omisión absoluta de emojis o decoraciones informales.</w:t>
      </w:r>
      <w:r w:rsidDel="00000000" w:rsidR="00000000" w:rsidRPr="00000000">
        <w:rPr>
          <w:rtl w:val="0"/>
        </w:rPr>
      </w:r>
    </w:p>
    <w:p w:rsidR="00000000" w:rsidDel="00000000" w:rsidP="00000000" w:rsidRDefault="00000000" w:rsidRPr="00000000" w14:paraId="0000003A">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b) Modularidad y Mantenibilidad: </w:t>
      </w:r>
      <w:r w:rsidDel="00000000" w:rsidR="00000000" w:rsidRPr="00000000">
        <w:rPr>
          <w:rFonts w:ascii="Arial" w:cs="Arial" w:eastAsia="Arial" w:hAnsi="Arial"/>
          <w:color w:val="000000"/>
          <w:sz w:val="24"/>
          <w:szCs w:val="24"/>
          <w:rtl w:val="0"/>
        </w:rPr>
        <w:t xml:space="preserve">Se utiliza Vue 3 Composition API con componentes SFC modulares y almacenes Pinia dedicados, separando de forma estricta la lógica de interacción de las llamadas de red.</w:t>
      </w:r>
      <w:r w:rsidDel="00000000" w:rsidR="00000000" w:rsidRPr="00000000">
        <w:rPr>
          <w:rtl w:val="0"/>
        </w:rPr>
      </w:r>
    </w:p>
    <w:p w:rsidR="00000000" w:rsidDel="00000000" w:rsidP="00000000" w:rsidRDefault="00000000" w:rsidRPr="00000000" w14:paraId="0000003B">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c) Robustez Transaccional: </w:t>
      </w:r>
      <w:r w:rsidDel="00000000" w:rsidR="00000000" w:rsidRPr="00000000">
        <w:rPr>
          <w:rFonts w:ascii="Arial" w:cs="Arial" w:eastAsia="Arial" w:hAnsi="Arial"/>
          <w:color w:val="000000"/>
          <w:sz w:val="24"/>
          <w:szCs w:val="24"/>
          <w:rtl w:val="0"/>
        </w:rPr>
        <w:t xml:space="preserve">Se asegura la idempotencia en las operaciones de venta mediante UUIDs locales únicos ('origen_operacion') y doble persistencia (SQLite más respaldo JSON) para resistir cierres abruptos o fallas de energía.</w:t>
      </w:r>
      <w:r w:rsidDel="00000000" w:rsidR="00000000" w:rsidRPr="00000000">
        <w:rPr>
          <w:rtl w:val="0"/>
        </w:rPr>
      </w:r>
    </w:p>
    <w:p w:rsidR="00000000" w:rsidDel="00000000" w:rsidP="00000000" w:rsidRDefault="00000000" w:rsidRPr="00000000" w14:paraId="0000003C">
      <w:pPr>
        <w:spacing w:after="120" w:before="0" w:line="360" w:lineRule="auto"/>
        <w:jc w:val="both"/>
        <w:rPr/>
      </w:pPr>
      <w:r w:rsidDel="00000000" w:rsidR="00000000" w:rsidRPr="00000000">
        <w:rPr>
          <w:rFonts w:ascii="Arial" w:cs="Arial" w:eastAsia="Arial" w:hAnsi="Arial"/>
          <w:b w:val="1"/>
          <w:bCs w:val="1"/>
          <w:color w:val="000000"/>
          <w:sz w:val="24"/>
          <w:szCs w:val="24"/>
          <w:rtl w:val="0"/>
        </w:rPr>
        <w:t xml:space="preserve">d) Definición de Terminado (DoD): </w:t>
      </w:r>
      <w:r w:rsidDel="00000000" w:rsidR="00000000" w:rsidRPr="00000000">
        <w:rPr>
          <w:rFonts w:ascii="Arial" w:cs="Arial" w:eastAsia="Arial" w:hAnsi="Arial"/>
          <w:color w:val="000000"/>
          <w:sz w:val="24"/>
          <w:szCs w:val="24"/>
          <w:rtl w:val="0"/>
        </w:rPr>
        <w:t xml:space="preserve">Se valida el cumplimiento de las metas semanales mediante pruebas locales contra el entorno de control de calidad (QA), garantizando el aislamiento lógico multinquilino y la operación sin emisión tributaria (sin DTE/SII).</w:t>
      </w:r>
      <w:r w:rsidDel="00000000" w:rsidR="00000000" w:rsidRPr="00000000">
        <w:rPr>
          <w:rtl w:val="0"/>
        </w:rPr>
      </w:r>
    </w:p>
    <w:p w:rsidR="00000000" w:rsidDel="00000000" w:rsidP="00000000" w:rsidRDefault="00000000" w:rsidRPr="00000000" w14:paraId="0000003D">
      <w:pPr>
        <w:spacing w:after="120" w:before="280" w:lineRule="auto"/>
        <w:jc w:val="left"/>
        <w:rPr/>
      </w:pPr>
      <w:r w:rsidDel="00000000" w:rsidR="00000000" w:rsidRPr="00000000">
        <w:rPr>
          <w:rFonts w:ascii="Arial" w:cs="Arial" w:eastAsia="Arial" w:hAnsi="Arial"/>
          <w:b w:val="1"/>
          <w:bCs w:val="1"/>
          <w:color w:val="000000"/>
          <w:sz w:val="26"/>
          <w:szCs w:val="26"/>
          <w:rtl w:val="0"/>
        </w:rPr>
        <w:t xml:space="preserve">3. CONCLUSIONES INDIVIDUALES</w:t>
      </w:r>
      <w:r w:rsidDel="00000000" w:rsidR="00000000" w:rsidRPr="00000000">
        <w:rPr>
          <w:rtl w:val="0"/>
        </w:rPr>
      </w:r>
    </w:p>
    <w:p w:rsidR="00000000" w:rsidDel="00000000" w:rsidP="00000000" w:rsidRDefault="00000000" w:rsidRPr="00000000" w14:paraId="0000003E">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3.1 Conclusión Individual: Sebastián Rojas (Líder ProductClient)</w:t>
      </w:r>
      <w:r w:rsidDel="00000000" w:rsidR="00000000" w:rsidRPr="00000000">
        <w:rPr>
          <w:rtl w:val="0"/>
        </w:rPr>
      </w:r>
    </w:p>
    <w:p w:rsidR="00000000" w:rsidDel="00000000" w:rsidP="00000000" w:rsidRDefault="00000000" w:rsidRPr="00000000" w14:paraId="0000003F">
      <w:pPr>
        <w:spacing w:after="120" w:before="0" w:line="360" w:lineRule="auto"/>
        <w:jc w:val="both"/>
        <w:rPr/>
      </w:pPr>
      <w:r w:rsidDel="00000000" w:rsidR="00000000" w:rsidRPr="00000000">
        <w:rPr>
          <w:rFonts w:ascii="Arial" w:cs="Arial" w:eastAsia="Arial" w:hAnsi="Arial"/>
          <w:color w:val="000000"/>
          <w:sz w:val="24"/>
          <w:szCs w:val="24"/>
          <w:rtl w:val="0"/>
        </w:rPr>
        <w:t xml:space="preserve">El desarrollo de la arquitectura de ProductClient me permitió abordar la gestión de estados complejos en herramientas web de administración empresarial. Diseñar una interfaz orientada al dueño que permita visualizar y modificar simultáneamente precios y existencias en múltiples sucursales demostró la necesidad de implementar estructuras de datos reactivas eficientes en el frontend. Asimismo, la construcción de un procesador de inventarios por Excel con validación de filas e incrementos relativos (+N/-N) reforzó la importancia de proveer retroalimentación clara antes de persistir cambios masivos. Esta experiencia consolida mis competencias en el diseño de interfaces web B2B de alto rendimiento bajo estándares corporativos rigurosos.</w:t>
      </w:r>
      <w:r w:rsidDel="00000000" w:rsidR="00000000" w:rsidRPr="00000000">
        <w:rPr>
          <w:rtl w:val="0"/>
        </w:rPr>
      </w:r>
    </w:p>
    <w:p w:rsidR="00000000" w:rsidDel="00000000" w:rsidP="00000000" w:rsidRDefault="00000000" w:rsidRPr="00000000" w14:paraId="00000040">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3.2 Conclusión Individual: Matías Barrios (Líder ProductBiss POS)</w:t>
      </w:r>
      <w:r w:rsidDel="00000000" w:rsidR="00000000" w:rsidRPr="00000000">
        <w:rPr>
          <w:rtl w:val="0"/>
        </w:rPr>
      </w:r>
    </w:p>
    <w:p w:rsidR="00000000" w:rsidDel="00000000" w:rsidP="00000000" w:rsidRDefault="00000000" w:rsidRPr="00000000" w14:paraId="00000041">
      <w:pPr>
        <w:spacing w:after="120" w:before="0" w:line="360" w:lineRule="auto"/>
        <w:jc w:val="both"/>
        <w:rPr/>
      </w:pPr>
      <w:r w:rsidDel="00000000" w:rsidR="00000000" w:rsidRPr="00000000">
        <w:rPr>
          <w:rFonts w:ascii="Arial" w:cs="Arial" w:eastAsia="Arial" w:hAnsi="Arial"/>
          <w:color w:val="000000"/>
          <w:sz w:val="24"/>
          <w:szCs w:val="24"/>
          <w:rtl w:val="0"/>
        </w:rPr>
        <w:t xml:space="preserve">Estar a cargo del desarrollo de ProductBiss POS me brindó la oportunidad de resolver un problema técnico recurrente en la industria: la dependencia excesiva de los puntos de venta respecto a la conectividad de red. La adopción de un modelo híbrido basado en SQLite local y una cola de transacciones respaldada en JSON asegura que el negocio continúe operando ininterrumpidamente hasta por 5 días sin conexión, eliminando el riesgo de parálisis en caja. Del mismo modo, la integración de impresión térmica directa en bajo nivel mediante ESC/POS en Electron erradica los diálogos de impresión del sistema operativo, logrando una atención ágil. Este proyecto fortalece mi perfil profesional en el desarrollo de software de sistemas, comunicación con periféricos y diseño de aplicaciones tolerantes a fallos.</w:t>
      </w:r>
      <w:r w:rsidDel="00000000" w:rsidR="00000000" w:rsidRPr="00000000">
        <w:rPr>
          <w:rtl w:val="0"/>
        </w:rPr>
      </w:r>
    </w:p>
    <w:p w:rsidR="00000000" w:rsidDel="00000000" w:rsidP="00000000" w:rsidRDefault="00000000" w:rsidRPr="00000000" w14:paraId="00000042">
      <w:pPr>
        <w:spacing w:after="80" w:before="200" w:lineRule="auto"/>
        <w:jc w:val="left"/>
        <w:rPr/>
      </w:pPr>
      <w:r w:rsidDel="00000000" w:rsidR="00000000" w:rsidRPr="00000000">
        <w:rPr>
          <w:rFonts w:ascii="Arial" w:cs="Arial" w:eastAsia="Arial" w:hAnsi="Arial"/>
          <w:b w:val="1"/>
          <w:bCs w:val="1"/>
          <w:color w:val="000000"/>
          <w:sz w:val="24"/>
          <w:szCs w:val="24"/>
          <w:rtl w:val="0"/>
        </w:rPr>
        <w:t xml:space="preserve">3.3 Conclusión Individual: Fernando Balagué (Líder ProductAdmin)</w:t>
      </w:r>
      <w:r w:rsidDel="00000000" w:rsidR="00000000" w:rsidRPr="00000000">
        <w:rPr>
          <w:rtl w:val="0"/>
        </w:rPr>
      </w:r>
    </w:p>
    <w:p w:rsidR="00000000" w:rsidDel="00000000" w:rsidP="00000000" w:rsidRDefault="00000000" w:rsidRPr="00000000" w14:paraId="00000043">
      <w:pPr>
        <w:spacing w:after="120" w:before="0" w:line="360" w:lineRule="auto"/>
        <w:jc w:val="both"/>
        <w:rPr/>
      </w:pPr>
      <w:r w:rsidDel="00000000" w:rsidR="00000000" w:rsidRPr="00000000">
        <w:rPr>
          <w:rFonts w:ascii="Arial" w:cs="Arial" w:eastAsia="Arial" w:hAnsi="Arial"/>
          <w:color w:val="000000"/>
          <w:sz w:val="24"/>
          <w:szCs w:val="24"/>
          <w:rtl w:val="0"/>
        </w:rPr>
        <w:t xml:space="preserve">Liderar el módulo ProductAdmin me permitió enfocarme en los pilares de seguridad, administración multinquilino y gobernanza legal en plataformas de software. Garantizar el aislamiento estricto entre clientes mediante autenticación OIDC con Keycloak y la exigencia de segundo factor (MFA) sienta las bases de un entorno protegido. Por otra parte, la implementación de bitácoras de auditoría histórica y en vivo, sumada a las funciones de impersonación controlada y los procedimientos de cumplimiento de la Ley 21.719 (derechos ARCO+), demuestra que la calidad del software incluye la trazabilidad forense y el respeto a la privacidad de los datos personales. Este trabajo constituye una base sólida para mi especialización en ciberseguridad y arquitectura empresarial.</w:t>
      </w:r>
      <w:r w:rsidDel="00000000" w:rsidR="00000000" w:rsidRPr="00000000">
        <w:rPr>
          <w:rtl w:val="0"/>
        </w:rPr>
      </w:r>
    </w:p>
    <w:p w:rsidR="00000000" w:rsidDel="00000000" w:rsidP="00000000" w:rsidRDefault="00000000" w:rsidRPr="00000000" w14:paraId="00000044">
      <w:pPr>
        <w:spacing w:after="120" w:before="280" w:lineRule="auto"/>
        <w:jc w:val="left"/>
        <w:rPr/>
      </w:pPr>
      <w:r w:rsidDel="00000000" w:rsidR="00000000" w:rsidRPr="00000000">
        <w:rPr>
          <w:rFonts w:ascii="Arial" w:cs="Arial" w:eastAsia="Arial" w:hAnsi="Arial"/>
          <w:b w:val="1"/>
          <w:bCs w:val="1"/>
          <w:color w:val="000000"/>
          <w:sz w:val="26"/>
          <w:szCs w:val="26"/>
          <w:rtl w:val="0"/>
        </w:rPr>
        <w:t xml:space="preserve">4. REFLEXIÓN GRUPAL</w:t>
      </w:r>
      <w:r w:rsidDel="00000000" w:rsidR="00000000" w:rsidRPr="00000000">
        <w:rPr>
          <w:rtl w:val="0"/>
        </w:rPr>
      </w:r>
    </w:p>
    <w:p w:rsidR="00000000" w:rsidDel="00000000" w:rsidP="00000000" w:rsidRDefault="00000000" w:rsidRPr="00000000" w14:paraId="00000045">
      <w:pPr>
        <w:spacing w:after="120" w:before="0" w:line="360" w:lineRule="auto"/>
        <w:jc w:val="both"/>
        <w:rPr/>
      </w:pPr>
      <w:r w:rsidDel="00000000" w:rsidR="00000000" w:rsidRPr="00000000">
        <w:rPr>
          <w:rFonts w:ascii="Arial" w:cs="Arial" w:eastAsia="Arial" w:hAnsi="Arial"/>
          <w:color w:val="000000"/>
          <w:sz w:val="24"/>
          <w:szCs w:val="24"/>
          <w:rtl w:val="0"/>
        </w:rPr>
        <w:t xml:space="preserve">La conceptualización del ecosistema ProductBiss ha demostrado a nuestro equipo la importancia de desacoplar responsabilidades funcionales manteniendo al mismo tiempo una integración técnica rigurosa. La separación en tres clientes independientes (ProductClient, ProductBiss POS y ProductAdmin) permitió que cada integrante se especializara en su área de interés sin entorpecer el avance colectivo, sustentados en contratos de API consistentes y un estándar de diseño unificado. La decisión de enfocar la solución exclusivamente en la operativa interna, prescindiendo deliberadamente de la emisión tributaria (sin DTE/SII), nos permitió canalizar el esfuerzo técnico en la tolerancia a fallos, la velocidad de cobro y la robustez en la sincronización. Esta experiencia refuerza nuestro criterio ingenieril para planificar, mitigar riesgos y desarrollar software confiable y alineado a las necesidades reales del mercado.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qlwGAlc9nWPYxpuPIJHzNT/JQ==">CgMxLjA4AHIhMWplVXAtUmdpMUt2d05VRTNJWXZEUzY5R2FZZXFIdF96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