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customXmlProperties+xml" PartName="/customXml/itemProps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Design, Development and Critical Evaluation of a Browser-Based Chess Rating Estimator</w:t>
      </w:r>
    </w:p>
    <w:p>
      <w:pPr>
        <w:pStyle w:val="Heading1"/>
        <w:spacing w:after="160" w:before="32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hAnsi="Times New Roman" w:cs="Times New Roman"/>
          <w:sz w:val="24"/>
          <w:szCs w:val="24"/>
        </w:rPr>
        <w:t xml:space="preserve">Chess Analyzer is a browser-based application that estimates a player’s approximate rating from the quality of the moves played in a single analysed game, combining live Stockfish engine analysis with a small statistical model trained offline on real Lichess data. Rather than inferring strength from results or rating history, it works from move-by-move evaluation loss, in the spirit of the ‘intrinsic’ skill measurement developed in the computer chess literature </w:t>
      </w:r>
      <w:fldSimple w:instr=" CITATION GuiBra06 \m Reg11 \l 2057 ">
        <w:r>
          <w:rPr>
            <w:rFonts w:ascii="Times New Roman" w:hAnsi="Times New Roman" w:cs="Times New Roman"/>
            <w:sz w:val="24"/>
            <w:szCs w:val="24"/>
          </w:rPr>
          <w:t xml:space="preserve">(Guid &amp; Bratko, 2006; Regan &amp; Haworth, 2011)</w:t>
        </w:r>
      </w:fldSimple>
      <w:r>
        <w:rPr>
          <w:rFonts w:ascii="Times New Roman" w:hAnsi="Times New Roman" w:cs="Times New Roman"/>
          <w:sz w:val="24"/>
          <w:szCs w:val="24"/>
        </w:rPr>
        <w:t xml:space="preserve">. This report sets out the principal design choices behind the system, how the work was planned and staged, the methodology used to engineer features and fit the rating model, and a critical evaluation of what the resulting tool does and does not achieve.</w:t>
      </w:r>
    </w:p>
    <w:p>
      <w:pPr>
        <w:pStyle w:val="Heading1"/>
        <w:spacing w:after="160" w:before="320"/>
      </w:pPr>
      <w:r>
        <w:rPr>
          <w:rFonts w:ascii="Times New Roman" w:cs="Times New Roman" w:eastAsia="Times New Roman" w:hAnsi="Times New Roman"/>
          <w:b/>
          <w:bCs/>
          <w:sz w:val="28"/>
          <w:szCs w:val="28"/>
        </w:rPr>
        <w:t xml:space="preserve">2. Design Choices</w:t>
      </w:r>
    </w:p>
    <w:p>
      <w:pPr>
        <w:spacing w:after="200" w:line="360"/>
        <w:jc w:val="both"/>
      </w:pPr>
      <w:r>
        <w:rPr>
          <w:rFonts w:ascii="Times New Roman" w:hAnsi="Times New Roman" w:cs="Times New Roman"/>
          <w:sz w:val="24"/>
          <w:szCs w:val="24"/>
        </w:rPr>
        <w:t xml:space="preserve">The most consequential architectural decision was to keep the entire system client-side, with no backend server. The interface is built with React and Vite, move generation, validation and PGN parsing are handled by the chess.js library </w:t>
      </w:r>
      <w:fldSimple w:instr=" CITATION Jhlywa \l 2057 ">
        <w:r>
          <w:rPr>
            <w:rFonts w:ascii="Times New Roman" w:hAnsi="Times New Roman" w:cs="Times New Roman"/>
            <w:sz w:val="24"/>
            <w:szCs w:val="24"/>
          </w:rPr>
          <w:t xml:space="preserve">(jhlywa, n.d.)</w:t>
        </w:r>
      </w:fldSimple>
      <w:r>
        <w:rPr>
          <w:rFonts w:ascii="Times New Roman" w:hAnsi="Times New Roman" w:cs="Times New Roman"/>
          <w:sz w:val="24"/>
          <w:szCs w:val="24"/>
        </w:rPr>
        <w:t xml:space="preserve">, and position evaluation is carried out by Stockfish 18 compiled to WebAssembly and run inside a Web Worker, so that engine analysis does not block the interface thread </w:t>
      </w:r>
      <w:fldSimple w:instr=" CITATION Stockfish \l 2057 ">
        <w:r>
          <w:rPr>
            <w:rFonts w:ascii="Times New Roman" w:hAnsi="Times New Roman" w:cs="Times New Roman"/>
            <w:sz w:val="24"/>
            <w:szCs w:val="24"/>
          </w:rPr>
          <w:t xml:space="preserve">(Stockfish, n.d.)</w:t>
        </w:r>
      </w:fldSimple>
      <w:r>
        <w:rPr>
          <w:rFonts w:ascii="Times New Roman" w:hAnsi="Times New Roman" w:cs="Times New Roman"/>
          <w:sz w:val="24"/>
          <w:szCs w:val="24"/>
        </w:rPr>
        <w:t xml:space="preserve">. This choice was made deliberately rather than by default: it means the tool can run indefinitely at no server cost, and no game data ever leaves the user’s own machine, which was judged preferable given how personally players can regard their own games.</w:t>
      </w:r>
    </w:p>
    <w:p>
      <w:pPr>
        <w:spacing w:after="200" w:line="360"/>
        <w:jc w:val="both"/>
      </w:pPr>
      <w:r>
        <w:rPr>
          <w:rFonts w:ascii="Times New Roman" w:hAnsi="Times New Roman" w:cs="Times New Roman"/>
          <w:sz w:val="24"/>
          <w:szCs w:val="24"/>
        </w:rPr>
        <w:t xml:space="preserve">The second major design decision concerns the rating-estimation model itself. Move-quality-based skill estimation has clear precedent: prior work has compared the errors world champions made against engine analysis in order to rank playing strength independently of era or opponent </w:t>
      </w:r>
      <w:fldSimple w:instr=" CITATION GuiBra06 \l 2057 ">
        <w:r>
          <w:rPr>
            <w:rFonts w:ascii="Times New Roman" w:hAnsi="Times New Roman" w:cs="Times New Roman"/>
            <w:sz w:val="24"/>
            <w:szCs w:val="24"/>
          </w:rPr>
          <w:t xml:space="preserve">(Guid &amp; Bratko, 2006)</w:t>
        </w:r>
      </w:fldSimple>
      <w:r>
        <w:rPr>
          <w:rFonts w:ascii="Times New Roman" w:hAnsi="Times New Roman" w:cs="Times New Roman"/>
          <w:sz w:val="24"/>
          <w:szCs w:val="24"/>
        </w:rPr>
        <w:t xml:space="preserve">, and this same basic idea was later formalised into ‘intrinsic ratings’ derived purely from move quality rather than game outcomes </w:t>
      </w:r>
      <w:fldSimple w:instr=" CITATION Reg11 \l 2057 ">
        <w:r>
          <w:rPr>
            <w:rFonts w:ascii="Times New Roman" w:hAnsi="Times New Roman" w:cs="Times New Roman"/>
            <w:sz w:val="24"/>
            <w:szCs w:val="24"/>
          </w:rPr>
          <w:t xml:space="preserve">(Regan &amp; Haworth, 2011)</w:t>
        </w:r>
      </w:fldSimple>
      <w:r>
        <w:rPr>
          <w:rFonts w:ascii="Times New Roman" w:hAnsi="Times New Roman" w:cs="Times New Roman"/>
          <w:sz w:val="24"/>
          <w:szCs w:val="24"/>
        </w:rPr>
        <w:t xml:space="preserve">. Chess Analyzer adopts the same underlying premise — that average centipawn loss and error rates correlate with rating — but implements a considerably simpler estimator suited to a client-side context rather than the more elaborate, complexity-weighted models used in that research.</w:t>
      </w:r>
    </w:p>
    <w:p>
      <w:pPr>
        <w:spacing w:after="200" w:line="360"/>
        <w:jc w:val="both"/>
      </w:pPr>
      <w:r>
        <w:rPr>
          <w:rFonts w:ascii="Times New Roman" w:hAnsi="Times New Roman" w:cs="Times New Roman"/>
          <w:sz w:val="24"/>
          <w:szCs w:val="24"/>
        </w:rPr>
        <w:t xml:space="preserve">Because the estimator must run inside the browser without a server round-trip, the model itself had to be small enough to ship as a static JSON asset and cheap enough to evaluate as a handful of arithmetic operations. This effectively ruled out anything requiring a heavier runtime — a decision-tree ensemble or a neural network, for instance — unless a bespoke JavaScript inference path were written to match it. A ridge-regularised linear regression was chosen instead: quick to fit offline in Node.js by solving the normal equations directly via Gaussian elimination </w:t>
      </w:r>
      <w:fldSimple w:instr=" CITATION HoeKen70 \l 2057 ">
        <w:r>
          <w:rPr>
            <w:rFonts w:ascii="Times New Roman" w:hAnsi="Times New Roman" w:cs="Times New Roman"/>
            <w:sz w:val="24"/>
            <w:szCs w:val="24"/>
          </w:rPr>
          <w:t xml:space="preserve">(Hoerl &amp; Kennard, 1970)</w:t>
        </w:r>
      </w:fldSimple>
      <w:r>
        <w:rPr>
          <w:rFonts w:ascii="Times New Roman" w:hAnsi="Times New Roman" w:cs="Times New Roman"/>
          <w:sz w:val="24"/>
          <w:szCs w:val="24"/>
        </w:rPr>
        <w:t xml:space="preserve">, trivial to encode as a JSON file of weights, means and standard deviations, and cheap enough to evaluate synchronously in the browser as a single dot product. The ridge penalty specifically controls coefficient variance given the modest training sample described below, at some cost to the interpretability of any single weight.</w:t>
      </w:r>
    </w:p>
    <w:p>
      <w:pPr>
        <w:pStyle w:val="Heading1"/>
        <w:spacing w:after="160" w:before="320"/>
      </w:pPr>
      <w:r>
        <w:rPr>
          <w:rFonts w:ascii="Times New Roman" w:cs="Times New Roman" w:eastAsia="Times New Roman" w:hAnsi="Times New Roman"/>
          <w:b/>
          <w:bCs/>
          <w:sz w:val="28"/>
          <w:szCs w:val="28"/>
        </w:rPr>
        <w:t xml:space="preserve">3. Planning</w:t>
      </w:r>
    </w:p>
    <w:p>
      <w:pPr>
        <w:spacing w:after="200" w:line="360"/>
        <w:jc w:val="both"/>
      </w:pPr>
      <w:r>
        <w:rPr>
          <w:rFonts w:ascii="Times New Roman" w:cs="Times New Roman" w:eastAsia="Times New Roman" w:hAnsi="Times New Roman"/>
          <w:sz w:val="24"/>
          <w:szCs w:val="24"/>
        </w:rPr>
        <w:t xml:space="preserve">Development was planned as a linear pipeline with four stages — data acquisition, engine analysis, feature engineering, and model fitting — each implemented as its own resumable script rather than one monolithic process.</w:t>
      </w:r>
    </w:p>
    <w:p>
      <w:pPr>
        <w:spacing w:after="200" w:line="360"/>
        <w:jc w:val="both"/>
      </w:pPr>
      <w:r>
        <w:rPr>
          <w:rFonts w:ascii="Times New Roman" w:hAnsi="Times New Roman" w:cs="Times New Roman"/>
          <w:sz w:val="24"/>
          <w:szCs w:val="24"/>
        </w:rPr>
        <w:t xml:space="preserve">Because the project was carried out in a sandboxed environment without practical access to the full multi-gigabyte Lichess monthly database dumps </w:t>
      </w:r>
      <w:fldSimple w:instr=" CITATION Lichess \l 2057 ">
        <w:r>
          <w:rPr>
            <w:rFonts w:ascii="Times New Roman" w:hAnsi="Times New Roman" w:cs="Times New Roman"/>
            <w:sz w:val="24"/>
            <w:szCs w:val="24"/>
          </w:rPr>
          <w:t xml:space="preserve">(Lichess, n.d.)</w:t>
        </w:r>
      </w:fldSimple>
      <w:r>
        <w:rPr>
          <w:rFonts w:ascii="Times New Roman" w:hAnsi="Times New Roman" w:cs="Times New Roman"/>
          <w:sz w:val="24"/>
          <w:szCs w:val="24"/>
        </w:rPr>
        <w:t xml:space="preserve">, the acquisition stage was planned around range-requesting only the first slice of bytes from a compressed dump and streaming that slice through the system’s zstd decoder, discarding the final, necessarily truncated game from the resulting sample. Games were also filtered at this stage to exclude bullet time controls and very short games, on the reasoning that rushed bullet play produces move-quality noise unrepresentative of a player’s considered strength.</w:t>
      </w:r>
    </w:p>
    <w:p>
      <w:pPr>
        <w:spacing w:after="200" w:line="360"/>
        <w:jc w:val="both"/>
      </w:pPr>
      <w:r>
        <w:rPr>
          <w:rFonts w:ascii="Times New Roman" w:cs="Times New Roman" w:eastAsia="Times New Roman" w:hAnsi="Times New Roman"/>
          <w:sz w:val="24"/>
          <w:szCs w:val="24"/>
        </w:rPr>
        <w:t xml:space="preserve">Once a sample of rated games had been collected, the plan called for running genuine Stockfish analysis over every position, rather than approximating with cheaper heuristics, using a Node-runnable build of the same engine that ships to the browser, so that training and deployment relied on identical evaluation logic. Feature extraction and model fitting were kept as distinct, resumable stages, since a real risk existed of the offline analysis step failing partway through and needing to resume without re-fetching data.</w:t>
      </w:r>
    </w:p>
    <w:p>
      <w:pPr>
        <w:pStyle w:val="Heading1"/>
        <w:spacing w:after="160" w:before="320"/>
      </w:pPr>
      <w:r>
        <w:rPr>
          <w:rFonts w:ascii="Times New Roman" w:cs="Times New Roman" w:eastAsia="Times New Roman" w:hAnsi="Times New Roman"/>
          <w:b/>
          <w:bCs/>
          <w:sz w:val="28"/>
          <w:szCs w:val="28"/>
        </w:rPr>
        <w:t xml:space="preserve">4. Methodology</w:t>
      </w:r>
    </w:p>
    <w:p>
      <w:pPr>
        <w:spacing w:after="200" w:line="360"/>
        <w:jc w:val="both"/>
      </w:pPr>
      <w:r>
        <w:rPr>
          <w:rFonts w:ascii="Times New Roman" w:cs="Times New Roman" w:eastAsia="Times New Roman" w:hAnsi="Times New Roman"/>
          <w:sz w:val="24"/>
          <w:szCs w:val="24"/>
        </w:rPr>
        <w:t xml:space="preserve">For each analysed game, move-quality features are derived independently for each side. Every move the player made is compared against the engine evaluation immediately before and after it was played, and classified as best, inaccuracy, mistake or blunder according to the resulting swing in evaluation. Moves flagged as mistakes or blunders are further classified by comparing the position to the opponent’s best reply, distinguishing hanging pieces, missed tactics and purely positional errors. From these classifications, eleven features are computed per player per game: overall average centipawn loss (ACPL), the rate of each move category, the volatility (standard deviation) of centipawn loss across the game, and ACPL computed separately for the opening ten moves and for the remainder of the game. Crucially, the same feature-extraction module is used identically by the offline Node.js training script and the in-browser inference code, which removes any risk of the two implementations drifting apart — a well-recognised failure mode in applied machine-learning systems.</w:t>
      </w:r>
    </w:p>
    <w:p>
      <w:pPr>
        <w:spacing w:after="200" w:line="360"/>
        <w:jc w:val="both"/>
      </w:pPr>
      <w:r>
        <w:rPr>
          <w:rFonts w:ascii="Times New Roman" w:hAnsi="Times New Roman" w:cs="Times New Roman"/>
          <w:sz w:val="24"/>
          <w:szCs w:val="24"/>
        </w:rPr>
        <w:t xml:space="preserve">Feature rows were built per player per game, subject to a minimum move count, with the player’s actual Lichess rating attached as the regression target: a supervised approach that treats the platform’s own rating as ground truth, in the same spirit as the validation carried out against players of known rating in the intrinsic-ratings literature </w:t>
      </w:r>
      <w:fldSimple w:instr=" CITATION Reg11 \l 2057 ">
        <w:r>
          <w:rPr>
            <w:rFonts w:ascii="Times New Roman" w:hAnsi="Times New Roman" w:cs="Times New Roman"/>
            <w:sz w:val="24"/>
            <w:szCs w:val="24"/>
          </w:rPr>
          <w:t xml:space="preserve">(Regan &amp; Haworth, 2011)</w:t>
        </w:r>
      </w:fldSimple>
      <w:r>
        <w:rPr>
          <w:rFonts w:ascii="Times New Roman" w:hAnsi="Times New Roman" w:cs="Times New Roman"/>
          <w:sz w:val="24"/>
          <w:szCs w:val="24"/>
        </w:rPr>
        <w:t xml:space="preserve">.</w:t>
      </w:r>
    </w:p>
    <w:p>
      <w:pPr>
        <w:spacing w:after="200" w:line="360"/>
        <w:jc w:val="both"/>
      </w:pPr>
      <w:r>
        <w:rPr>
          <w:rFonts w:ascii="Times New Roman" w:cs="Times New Roman" w:eastAsia="Times New Roman" w:hAnsi="Times New Roman"/>
          <w:sz w:val="24"/>
          <w:szCs w:val="24"/>
        </w:rPr>
        <w:t xml:space="preserve">Before fitting, every feature was standardised to zero mean and unit variance across the full dataset, so that the ridge penalty shrinks each coefficient comparably; the bias term itself is left unpenalised. The dataset was split 80/20 into training and validation sets using a deterministic, seeded shuffle, rather than k-fold cross-validation, a simplification discussed further below. Validation mean absolute error and R² were computed on the held-out 20 per cent and written into the model artefact’s own metadata alongside the fitted weights, so that the browser can report an honest margin of error to the user rather than a falsely precise single figure; predictions for very short games have this margin widened further still, since fewer moves provide proportionately less evidence.</w:t>
      </w:r>
    </w:p>
    <w:p>
      <w:pPr>
        <w:pStyle w:val="Heading1"/>
        <w:spacing w:after="160" w:before="320"/>
      </w:pPr>
      <w:r>
        <w:rPr>
          <w:rFonts w:ascii="Times New Roman" w:cs="Times New Roman" w:eastAsia="Times New Roman" w:hAnsi="Times New Roman"/>
          <w:b/>
          <w:bCs/>
          <w:sz w:val="28"/>
          <w:szCs w:val="28"/>
        </w:rPr>
        <w:t xml:space="preserve">5. Critical Evaluation</w:t>
      </w:r>
    </w:p>
    <w:p>
      <w:pPr>
        <w:spacing w:after="200" w:line="360"/>
        <w:jc w:val="both"/>
      </w:pPr>
      <w:r>
        <w:rPr>
          <w:rFonts w:ascii="Times New Roman" w:hAnsi="Times New Roman" w:cs="Times New Roman"/>
          <w:sz w:val="24"/>
          <w:szCs w:val="24"/>
        </w:rPr>
        <w:t xml:space="preserve">Judged on its own validation figures, the shipped model is modest rather than strong: fitted on 500 player-rows drawn from around 250 sampled games, it reports a validation mean absolute error of roughly 250 rating points and an R² of about 0.15 — that is, move-quality features as currently computed explain only a small fraction of the variance in rating. This is substantially weaker than the results reported in the literature this project draws on, for several identifiable reasons. The training sample is minute compared with Lichess’s own monthly volumes; the Stockfish search depth used during training (ten plies) is shallow next to the far deeper, complexity-weighted analysis used to validate intrinsic ratings, and neither opponent strength nor positional complexity is modelled at all, despite both being central to the more sophisticated approaches in the field </w:t>
      </w:r>
      <w:fldSimple w:instr=" CITATION GuiBra06 \m Reg11 \l 2057 ">
        <w:r>
          <w:rPr>
            <w:rFonts w:ascii="Times New Roman" w:hAnsi="Times New Roman" w:cs="Times New Roman"/>
            <w:sz w:val="24"/>
            <w:szCs w:val="24"/>
          </w:rPr>
          <w:t xml:space="preserve">(Guid &amp; Bratko, 2006; Regan &amp; Haworth, 2011)</w:t>
        </w:r>
      </w:fldSimple>
      <w:r>
        <w:rPr>
          <w:rFonts w:ascii="Times New Roman" w:hAnsi="Times New Roman" w:cs="Times New Roman"/>
          <w:sz w:val="24"/>
          <w:szCs w:val="24"/>
        </w:rPr>
        <w:t xml:space="preserve">. The model also has no time-control-specific features, despite blitz, rapid and classical play plausibly producing systematically different error profiles at a given rating. Reliance on a single 80/20 holdout, rather than cross-validation, means the reported MAE and R² are themselves a single noisy estimate rather than a distribution with a known confidence interval. Finally, a linear model is a genuine approximation: the relationship between error rate and rating is unlikely to be linear across the full rating range, and ridge regularisation only shrinks coefficients rather than reshaping the functional form.</w:t>
      </w:r>
    </w:p>
    <w:p>
      <w:pPr>
        <w:spacing w:after="200" w:line="360"/>
        <w:jc w:val="both"/>
      </w:pPr>
      <w:r>
        <w:rPr>
          <w:rFonts w:ascii="Times New Roman" w:cs="Times New Roman" w:eastAsia="Times New Roman" w:hAnsi="Times New Roman"/>
          <w:sz w:val="24"/>
          <w:szCs w:val="24"/>
        </w:rPr>
        <w:t xml:space="preserve">Against this, several choices in the system hold up well under scrutiny. The pipeline is genuinely reproducible and resumable at every stage; reusing one feature-extraction module for both training and inference removes an entire class of subtle bugs; and the decision to report an uncertainty margin, rather than a bare number, is an honest reflection of the model’s real precision. The privacy-preserving, server-free architecture and the exclusion of bullet games from training are both defensible design choices rather than oversights.</w:t>
      </w:r>
    </w:p>
    <w:p>
      <w:pPr>
        <w:spacing w:after="200" w:line="360"/>
        <w:jc w:val="both"/>
      </w:pPr>
      <w:r>
        <w:rPr>
          <w:rFonts w:ascii="Times New Roman" w:hAnsi="Times New Roman" w:cs="Times New Roman"/>
          <w:sz w:val="24"/>
          <w:szCs w:val="24"/>
        </w:rPr>
        <w:t xml:space="preserve">The clearest paths to improvement are procedural rather than architectural: a substantially larger sample drawn from full monthly dumps, deeper engine search, k-fold cross-validation in place of a single split, and opponent- and complexity-adjusted features modelled on the intrinsic-ratings methodology </w:t>
      </w:r>
      <w:fldSimple w:instr=" CITATION Reg11 \l 2057 ">
        <w:r>
          <w:rPr>
            <w:rFonts w:ascii="Times New Roman" w:hAnsi="Times New Roman" w:cs="Times New Roman"/>
            <w:sz w:val="24"/>
            <w:szCs w:val="24"/>
          </w:rPr>
          <w:t xml:space="preserve">(Regan &amp; Haworth, 2011)</w:t>
        </w:r>
      </w:fldSimple>
      <w:r>
        <w:rPr>
          <w:rFonts w:ascii="Times New Roman" w:hAnsi="Times New Roman" w:cs="Times New Roman"/>
          <w:sz w:val="24"/>
          <w:szCs w:val="24"/>
        </w:rPr>
        <w:t xml:space="preserve">. Only once those are exhausted would moving beyond a linear model, with a matching JavaScript inference implementation, be justified.</w:t>
      </w:r>
    </w:p>
    <w:p>
      <w:pPr>
        <w:pStyle w:val="Heading1"/>
        <w:spacing w:after="160" w:before="320"/>
      </w:pPr>
      <w:r>
        <w:rPr>
          <w:rFonts w:ascii="Times New Roman" w:cs="Times New Roman" w:eastAsia="Times New Roman" w:hAnsi="Times New Roman"/>
          <w:b/>
          <w:bCs/>
          <w:sz w:val="28"/>
          <w:szCs w:val="28"/>
        </w:rPr>
        <w:t xml:space="preserve">6. Conclusion</w:t>
      </w:r>
    </w:p>
    <w:p>
      <w:pPr>
        <w:spacing w:after="200" w:line="360"/>
        <w:jc w:val="both"/>
      </w:pPr>
      <w:r>
        <w:rPr>
          <w:rFonts w:ascii="Times New Roman" w:cs="Times New Roman" w:eastAsia="Times New Roman" w:hAnsi="Times New Roman"/>
          <w:sz w:val="24"/>
          <w:szCs w:val="24"/>
        </w:rPr>
        <w:t xml:space="preserve">Chess Analyzer should be read as a working, honestly-scoped pipeline rather than a finished predictive instrument. Its architecture — client-side engine analysis paired with a small, offline-trained linear model — is a reasonable, well-precedented answer to the constraint of running entirely in the browser, and its methodology draws directly on an established research tradition of move-quality-based skill estimation. Its current accuracy, on the order of ±250 rating points, reflects the small, shallow-depth sample it was trained on rather than any ceiling on the approach itself; given a larger dataset, deeper analysis and cross-validated tuning, the same pipeline could plausibly approach the accuracy reported in the literature it draws upon.</w:t>
      </w:r>
    </w:p>
    <w:p>
      <w:pPr>
        <w:pStyle w:val="Heading1"/>
        <w:spacing w:after="160" w:before="320"/>
      </w:pPr>
      <w:r>
        <w:rPr>
          <w:rFonts w:ascii="Times New Roman" w:cs="Times New Roman" w:eastAsia="Times New Roman" w:hAnsi="Times New Roman"/>
          <w:b/>
          <w:bCs/>
          <w:sz w:val="28"/>
          <w:szCs w:val="28"/>
        </w:rPr>
        <w:t xml:space="preserve">References</w:t>
      </w:r>
    </w:p>
    <w:p>
      <w:pPr>
        <w:spacing w:after="160" w:line="300" w:lineRule="auto"/>
        <w:ind w:left="720" w:hanging="720"/>
      </w:pPr>
      <w:r>
        <w:fldChar w:fldCharType="begin"/>
      </w:r>
      <w:r>
        <w:instrText xml:space="preserve"> BIBLIOGRAPHY </w:instrText>
      </w:r>
      <w:r>
        <w:fldChar w:fldCharType="separate"/>
      </w:r>
      <w:r>
        <w:rPr>
          <w:rFonts w:ascii="Times New Roman" w:hAnsi="Times New Roman" w:cs="Times New Roman"/>
          <w:sz w:val="24"/>
          <w:szCs w:val="24"/>
        </w:rPr>
        <w:t xml:space="preserve">Guid, M., &amp; Bratko, I. (2006). Computer analysis of world chess champions. </w:t>
      </w:r>
      <w:r>
        <w:rPr>
          <w:rFonts w:ascii="Times New Roman" w:hAnsi="Times New Roman" w:cs="Times New Roman"/>
          <w:i/>
          <w:iCs/>
          <w:sz w:val="24"/>
          <w:szCs w:val="24"/>
        </w:rPr>
        <w:t xml:space="preserve">ICGA Journal</w:t>
      </w:r>
      <w:r>
        <w:rPr>
          <w:rFonts w:ascii="Times New Roman" w:hAnsi="Times New Roman" w:cs="Times New Roman"/>
          <w:sz w:val="24"/>
          <w:szCs w:val="24"/>
        </w:rPr>
        <w:t xml:space="preserve">, </w:t>
      </w:r>
      <w:r>
        <w:rPr>
          <w:rFonts w:ascii="Times New Roman" w:hAnsi="Times New Roman" w:cs="Times New Roman"/>
          <w:i/>
          <w:iCs/>
          <w:sz w:val="24"/>
          <w:szCs w:val="24"/>
        </w:rPr>
        <w:t xml:space="preserve">29</w:t>
      </w:r>
      <w:r>
        <w:rPr>
          <w:rFonts w:ascii="Times New Roman" w:hAnsi="Times New Roman" w:cs="Times New Roman"/>
          <w:sz w:val="24"/>
          <w:szCs w:val="24"/>
        </w:rPr>
        <w:t xml:space="preserve">(2), 65–73.</w:t>
      </w:r>
    </w:p>
    <w:p>
      <w:pPr>
        <w:spacing w:after="160" w:line="300" w:lineRule="auto"/>
        <w:ind w:left="720" w:hanging="720"/>
      </w:pPr>
      <w:r>
        <w:rPr>
          <w:rFonts w:ascii="Times New Roman" w:hAnsi="Times New Roman" w:cs="Times New Roman"/>
          <w:sz w:val="24"/>
          <w:szCs w:val="24"/>
        </w:rPr>
        <w:t xml:space="preserve">Hoerl, A. E., &amp; Kennard, R. W. (1970). Ridge regression: Biased estimation for nonorthogonal problems. </w:t>
      </w:r>
      <w:r>
        <w:rPr>
          <w:rFonts w:ascii="Times New Roman" w:hAnsi="Times New Roman" w:cs="Times New Roman"/>
          <w:i/>
          <w:iCs/>
          <w:sz w:val="24"/>
          <w:szCs w:val="24"/>
        </w:rPr>
        <w:t xml:space="preserve">Technometrics</w:t>
      </w:r>
      <w:r>
        <w:rPr>
          <w:rFonts w:ascii="Times New Roman" w:hAnsi="Times New Roman" w:cs="Times New Roman"/>
          <w:sz w:val="24"/>
          <w:szCs w:val="24"/>
        </w:rPr>
        <w:t xml:space="preserve">, </w:t>
      </w:r>
      <w:r>
        <w:rPr>
          <w:rFonts w:ascii="Times New Roman" w:hAnsi="Times New Roman" w:cs="Times New Roman"/>
          <w:i/>
          <w:iCs/>
          <w:sz w:val="24"/>
          <w:szCs w:val="24"/>
        </w:rPr>
        <w:t xml:space="preserve">12</w:t>
      </w:r>
      <w:r>
        <w:rPr>
          <w:rFonts w:ascii="Times New Roman" w:hAnsi="Times New Roman" w:cs="Times New Roman"/>
          <w:sz w:val="24"/>
          <w:szCs w:val="24"/>
        </w:rPr>
        <w:t xml:space="preserve">(1), 55–67.</w:t>
      </w:r>
    </w:p>
    <w:p>
      <w:pPr>
        <w:spacing w:after="160" w:line="300" w:lineRule="auto"/>
        <w:ind w:left="720" w:hanging="720"/>
      </w:pPr>
      <w:r>
        <w:rPr>
          <w:rFonts w:ascii="Times New Roman" w:hAnsi="Times New Roman" w:cs="Times New Roman"/>
          <w:sz w:val="24"/>
          <w:szCs w:val="24"/>
        </w:rPr>
        <w:t xml:space="preserve">jhlywa. (n.d.). </w:t>
      </w:r>
      <w:r>
        <w:rPr>
          <w:rFonts w:ascii="Times New Roman" w:hAnsi="Times New Roman" w:cs="Times New Roman"/>
          <w:i/>
          <w:iCs/>
          <w:sz w:val="24"/>
          <w:szCs w:val="24"/>
        </w:rPr>
        <w:t xml:space="preserve">chess.js: A JavaScript chess library</w:t>
      </w:r>
      <w:r>
        <w:rPr>
          <w:rFonts w:ascii="Times New Roman" w:hAnsi="Times New Roman" w:cs="Times New Roman"/>
          <w:sz w:val="24"/>
          <w:szCs w:val="24"/>
        </w:rPr>
        <w:t xml:space="preserve"> [Computer software]. GitHub. Retrieved 27 September 2026, from https://github.com/jhlywa/chess.js</w:t>
      </w:r>
    </w:p>
    <w:p>
      <w:pPr>
        <w:spacing w:after="160" w:line="300" w:lineRule="auto"/>
        <w:ind w:left="720" w:hanging="720"/>
      </w:pPr>
      <w:r>
        <w:rPr>
          <w:rFonts w:ascii="Times New Roman" w:hAnsi="Times New Roman" w:cs="Times New Roman"/>
          <w:sz w:val="24"/>
          <w:szCs w:val="24"/>
        </w:rPr>
        <w:t xml:space="preserve">Lichess. (n.d.). </w:t>
      </w:r>
      <w:r>
        <w:rPr>
          <w:rFonts w:ascii="Times New Roman" w:hAnsi="Times New Roman" w:cs="Times New Roman"/>
          <w:i/>
          <w:iCs/>
          <w:sz w:val="24"/>
          <w:szCs w:val="24"/>
        </w:rPr>
        <w:t xml:space="preserve">Lichess open database</w:t>
      </w:r>
      <w:r>
        <w:rPr>
          <w:rFonts w:ascii="Times New Roman" w:hAnsi="Times New Roman" w:cs="Times New Roman"/>
          <w:sz w:val="24"/>
          <w:szCs w:val="24"/>
        </w:rPr>
        <w:t xml:space="preserve">. Retrieved 27 September 2026, from https://database.lichess.org</w:t>
      </w:r>
    </w:p>
    <w:p>
      <w:pPr>
        <w:spacing w:after="160" w:line="300" w:lineRule="auto"/>
        <w:ind w:left="720" w:hanging="720"/>
      </w:pPr>
      <w:r>
        <w:rPr>
          <w:rFonts w:ascii="Times New Roman" w:hAnsi="Times New Roman" w:cs="Times New Roman"/>
          <w:sz w:val="24"/>
          <w:szCs w:val="24"/>
        </w:rPr>
        <w:t xml:space="preserve">Regan, K. W., &amp; Haworth, G. M. (2011). Intrinsic chess ratings. </w:t>
      </w:r>
      <w:r>
        <w:rPr>
          <w:rFonts w:ascii="Times New Roman" w:hAnsi="Times New Roman" w:cs="Times New Roman"/>
          <w:i/>
          <w:iCs/>
          <w:sz w:val="24"/>
          <w:szCs w:val="24"/>
        </w:rPr>
        <w:t xml:space="preserve">Proceedings of the AAAI Conference on Artificial Intelligence</w:t>
      </w:r>
      <w:r>
        <w:rPr>
          <w:rFonts w:ascii="Times New Roman" w:hAnsi="Times New Roman" w:cs="Times New Roman"/>
          <w:sz w:val="24"/>
          <w:szCs w:val="24"/>
        </w:rPr>
        <w:t xml:space="preserve">, </w:t>
      </w:r>
      <w:r>
        <w:rPr>
          <w:rFonts w:ascii="Times New Roman" w:hAnsi="Times New Roman" w:cs="Times New Roman"/>
          <w:i/>
          <w:iCs/>
          <w:sz w:val="24"/>
          <w:szCs w:val="24"/>
        </w:rPr>
        <w:t xml:space="preserve">25</w:t>
      </w:r>
      <w:r>
        <w:rPr>
          <w:rFonts w:ascii="Times New Roman" w:hAnsi="Times New Roman" w:cs="Times New Roman"/>
          <w:sz w:val="24"/>
          <w:szCs w:val="24"/>
        </w:rPr>
        <w:t xml:space="preserve">(1), 834–839.</w:t>
      </w:r>
    </w:p>
    <w:p>
      <w:pPr>
        <w:spacing w:after="160" w:line="300" w:lineRule="auto"/>
        <w:ind w:left="720" w:hanging="720"/>
      </w:pPr>
      <w:r>
        <w:rPr>
          <w:rFonts w:ascii="Times New Roman" w:hAnsi="Times New Roman" w:cs="Times New Roman"/>
          <w:sz w:val="24"/>
          <w:szCs w:val="24"/>
        </w:rPr>
        <w:t xml:space="preserve">Stockfish. (n.d.). </w:t>
      </w:r>
      <w:r>
        <w:rPr>
          <w:rFonts w:ascii="Times New Roman" w:hAnsi="Times New Roman" w:cs="Times New Roman"/>
          <w:i/>
          <w:iCs/>
          <w:sz w:val="24"/>
          <w:szCs w:val="24"/>
        </w:rPr>
        <w:t xml:space="preserve">Stockfish: A free and strong UCI chess engine</w:t>
      </w:r>
      <w:r>
        <w:rPr>
          <w:rFonts w:ascii="Times New Roman" w:hAnsi="Times New Roman" w:cs="Times New Roman"/>
          <w:sz w:val="24"/>
          <w:szCs w:val="24"/>
        </w:rPr>
        <w:t xml:space="preserve">. Retrieved 27 September 2026, from https://stockfishchess.org</w:t>
      </w:r>
      <w:r>
        <w:fldChar w:fldCharType="end"/>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GuiBra06</b:Tag>
    <b:SourceType>JournalArticle</b:SourceType>
    <b:Guid>{62619741-4C98-42AD-A84F-0F3987A283C7}</b:Guid>
    <b:Title>Computer Analysis of World Chess Champions</b:Title>
    <b:Year>2006</b:Year>
    <b:Pages>65-73</b:Pages>
    <b:Author>
      <b:Author>
        <b:NameList>
          <b:Person>
            <b:Last>Guid</b:Last>
            <b:First>Matej</b:First>
          </b:Person>
          <b:Person>
            <b:Last>Bratko</b:Last>
            <b:First>Ivan</b:First>
          </b:Person>
        </b:NameList>
      </b:Author>
    </b:Author>
    <b:JournalName>ICGA Journal</b:JournalName>
    <b:Volume>29</b:Volume>
    <b:Issue>2</b:Issue>
  </b:Source>
  <b:Source>
    <b:Tag>HoeKen70</b:Tag>
    <b:SourceType>JournalArticle</b:SourceType>
    <b:Guid>{27B2E305-92ED-41C6-BA3D-68B628A895E2}</b:Guid>
    <b:Title>Ridge Regression: Biased Estimation for Nonorthogonal Problems</b:Title>
    <b:Year>1970</b:Year>
    <b:Pages>55-67</b:Pages>
    <b:Author>
      <b:Author>
        <b:NameList>
          <b:Person>
            <b:Last>Hoerl</b:Last>
            <b:First>Arthur</b:First>
            <b:Middle>E.</b:Middle>
          </b:Person>
          <b:Person>
            <b:Last>Kennard</b:Last>
            <b:First>Robert</b:First>
            <b:Middle>W.</b:Middle>
          </b:Person>
        </b:NameList>
      </b:Author>
    </b:Author>
    <b:JournalName>Technometrics</b:JournalName>
    <b:Volume>12</b:Volume>
    <b:Issue>1</b:Issue>
  </b:Source>
  <b:Source>
    <b:Tag>Reg11</b:Tag>
    <b:SourceType>JournalArticle</b:SourceType>
    <b:Guid>{D666BDC4-ED2A-4DEE-85C6-D3B1DDE75A50}</b:Guid>
    <b:Title>Intrinsic Chess Ratings</b:Title>
    <b:Year>2011</b:Year>
    <b:Pages>834-839</b:Pages>
    <b:Author>
      <b:Author>
        <b:NameList>
          <b:Person>
            <b:Last>Regan</b:Last>
            <b:First>Kenneth</b:First>
            <b:Middle>W.</b:Middle>
          </b:Person>
          <b:Person>
            <b:Last>Haworth</b:Last>
            <b:First>Guy</b:First>
            <b:Middle>M.</b:Middle>
          </b:Person>
        </b:NameList>
      </b:Author>
    </b:Author>
    <b:JournalName>Proceedings of the AAAI Conference on Artificial Intelligence</b:JournalName>
    <b:Volume>25</b:Volume>
    <b:Issue>1</b:Issue>
  </b:Source>
  <b:Source>
    <b:Tag>Jhlywa</b:Tag>
    <b:SourceType>InternetSite</b:SourceType>
    <b:Guid>{40E3E94F-38E5-442F-B835-337898AC84B6}</b:Guid>
    <b:Title>chess.js: A JavaScript Chess Library</b:Title>
    <b:InternetSiteTitle>GitHub</b:InternetSiteTitle>
    <b:Author>
      <b:Author>
        <b:Corporate>jhlywa</b:Corporate>
      </b:Author>
    </b:Author>
    <b:URL>https://github.com/jhlywa/chess.js</b:URL>
    <b:YearAccessed>2026</b:YearAccessed>
    <b:MonthAccessed>September</b:MonthAccessed>
    <b:DayAccessed>27</b:DayAccessed>
  </b:Source>
  <b:Source>
    <b:Tag>Stockfish</b:Tag>
    <b:SourceType>InternetSite</b:SourceType>
    <b:Guid>{B125899A-8633-4F27-A49C-A004AB40AB6E}</b:Guid>
    <b:Title>Stockfish: A Free and Strong UCI Chess Engine</b:Title>
    <b:InternetSiteTitle>Stockfish</b:InternetSiteTitle>
    <b:Author>
      <b:Author>
        <b:Corporate>Stockfish</b:Corporate>
      </b:Author>
    </b:Author>
    <b:URL>https://stockfishchess.org</b:URL>
    <b:YearAccessed>2026</b:YearAccessed>
    <b:MonthAccessed>September</b:MonthAccessed>
    <b:DayAccessed>27</b:DayAccessed>
  </b:Source>
  <b:Source>
    <b:Tag>Lichess</b:Tag>
    <b:SourceType>InternetSite</b:SourceType>
    <b:Guid>{4303D9BB-0A71-4680-801E-2CA9C66883D7}</b:Guid>
    <b:Title>Lichess Open Database</b:Title>
    <b:InternetSiteTitle>Lichess</b:InternetSiteTitle>
    <b:Author>
      <b:Author>
        <b:Corporate>Lichess</b:Corporate>
      </b:Author>
    </b:Author>
    <b:URL>https://database.lichess.org</b:URL>
    <b:YearAccessed>2026</b:YearAccessed>
    <b:MonthAccessed>September</b:MonthAccessed>
    <b:DayAccessed>27</b:DayAccessed>
  </b:Source>
</b:Sources>
</file>

<file path=customXml/itemProps1.xml><?xml version="1.0" encoding="utf-8"?>
<ds:datastoreItem xmlns:ds="http://schemas.openxmlformats.org/officeDocument/2006/customXml" ds:itemID="{A1B2C3D4-E5F6-4A7B-8C9D-0E1F2A3B4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Development and Critical Evaluation of a Browser-Based Chess Rating Estimator</dc:title>
  <dc:creator>Chess Analyzer project report</dc:creator>
  <cp:lastModifiedBy>Un-named</cp:lastModifiedBy>
  <cp:revision>1</cp:revision>
  <dcterms:created xsi:type="dcterms:W3CDTF">2026-09-27T19:51:01.257Z</dcterms:created>
  <dcterms:modified xsi:type="dcterms:W3CDTF">2026-09-27T19:51:01.257Z</dcterms:modified>
</cp:coreProperties>
</file>

<file path=docProps/custom.xml><?xml version="1.0" encoding="utf-8"?>
<Properties xmlns="http://schemas.openxmlformats.org/officeDocument/2006/custom-properties" xmlns:vt="http://schemas.openxmlformats.org/officeDocument/2006/docPropsVTypes"/>
</file>