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C281" w14:textId="77777777" w:rsidR="00CF2302" w:rsidRPr="005A1CC5" w:rsidRDefault="00CF2302" w:rsidP="00CF2302">
      <w:pPr>
        <w:pStyle w:val="Kiemeltidzet"/>
        <w:rPr>
          <w:rFonts w:cstheme="minorHAnsi"/>
          <w:sz w:val="28"/>
          <w:szCs w:val="28"/>
        </w:rPr>
      </w:pPr>
      <w:r w:rsidRPr="005A1CC5">
        <w:rPr>
          <w:rFonts w:cstheme="minorHAnsi"/>
          <w:sz w:val="28"/>
          <w:szCs w:val="28"/>
        </w:rPr>
        <w:t>HIVATKOZÁSOK SZÁMONKÉRÉSE</w:t>
      </w:r>
    </w:p>
    <w:p w14:paraId="33208E1B" w14:textId="77777777" w:rsidR="00CF2302" w:rsidRPr="005A1CC5" w:rsidRDefault="00CF2302" w:rsidP="00CF2302">
      <w:pPr>
        <w:rPr>
          <w:rFonts w:cstheme="minorHAnsi"/>
          <w:i/>
          <w:iCs/>
          <w:sz w:val="24"/>
          <w:szCs w:val="24"/>
        </w:rPr>
      </w:pPr>
      <w:r w:rsidRPr="005A1CC5">
        <w:rPr>
          <w:rFonts w:cstheme="minorHAnsi"/>
          <w:i/>
          <w:iCs/>
          <w:sz w:val="24"/>
          <w:szCs w:val="24"/>
        </w:rPr>
        <w:t xml:space="preserve">Az alábbi tanulmány-részlet </w:t>
      </w:r>
      <w:proofErr w:type="spellStart"/>
      <w:r w:rsidRPr="005A1CC5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5A1CC5">
        <w:rPr>
          <w:rFonts w:cstheme="minorHAnsi"/>
          <w:i/>
          <w:iCs/>
          <w:sz w:val="24"/>
          <w:szCs w:val="24"/>
        </w:rPr>
        <w:t xml:space="preserve"> hivatkozásaiban, illetve irodalomjegyzékében összesen 10 különböző hibát talál. </w:t>
      </w:r>
    </w:p>
    <w:p w14:paraId="02F86C7B" w14:textId="77777777" w:rsidR="00CF2302" w:rsidRPr="005A1CC5" w:rsidRDefault="00CF2302" w:rsidP="00CF2302">
      <w:pPr>
        <w:rPr>
          <w:rFonts w:cstheme="minorHAnsi"/>
          <w:i/>
          <w:iCs/>
          <w:sz w:val="24"/>
          <w:szCs w:val="24"/>
        </w:rPr>
      </w:pPr>
      <w:r w:rsidRPr="005A1CC5">
        <w:rPr>
          <w:rFonts w:cstheme="minorHAnsi"/>
          <w:i/>
          <w:iCs/>
          <w:sz w:val="24"/>
          <w:szCs w:val="24"/>
        </w:rPr>
        <w:t>Kapcsolják be a „Változások követése” funkciót és javítsák a hibákat!</w:t>
      </w:r>
    </w:p>
    <w:p w14:paraId="0F664B2B" w14:textId="77777777" w:rsidR="00CF2302" w:rsidRPr="005A1CC5" w:rsidRDefault="00CF2302" w:rsidP="00CF2302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5A1CC5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625E6D5A" w14:textId="77777777" w:rsidR="00CF2302" w:rsidRPr="005A1CC5" w:rsidRDefault="00CF2302" w:rsidP="00CF2302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5A1CC5">
        <w:rPr>
          <w:rFonts w:cstheme="minorHAnsi"/>
          <w:i/>
          <w:iCs/>
          <w:sz w:val="24"/>
          <w:szCs w:val="24"/>
        </w:rPr>
        <w:t>Írják be a helyes megoldást!</w:t>
      </w:r>
    </w:p>
    <w:p w14:paraId="5B95FBC9" w14:textId="46B34C44" w:rsidR="00CF2302" w:rsidRPr="005A1CC5" w:rsidRDefault="00CF2302" w:rsidP="00CF2302">
      <w:pPr>
        <w:rPr>
          <w:rFonts w:cstheme="minorHAnsi"/>
          <w:i/>
          <w:iCs/>
          <w:sz w:val="24"/>
          <w:szCs w:val="24"/>
        </w:rPr>
      </w:pPr>
      <w:r w:rsidRPr="005A1CC5">
        <w:rPr>
          <w:rFonts w:cstheme="minorHAnsi"/>
          <w:i/>
          <w:iCs/>
          <w:sz w:val="24"/>
          <w:szCs w:val="24"/>
        </w:rPr>
        <w:t xml:space="preserve">A megoldás elkészítésére 15perc áll rendelkezésre. </w:t>
      </w:r>
    </w:p>
    <w:p w14:paraId="6781B766" w14:textId="77777777" w:rsidR="00B000E8" w:rsidRPr="005A1CC5" w:rsidRDefault="00B000E8" w:rsidP="00CF2302">
      <w:pPr>
        <w:rPr>
          <w:rFonts w:cstheme="minorHAnsi"/>
          <w:i/>
          <w:iCs/>
          <w:sz w:val="24"/>
          <w:szCs w:val="24"/>
        </w:rPr>
      </w:pPr>
    </w:p>
    <w:p w14:paraId="6803A031" w14:textId="64472BC5" w:rsidR="00AA5DA4" w:rsidRPr="005A1CC5" w:rsidRDefault="00AA5DA4" w:rsidP="00B000E8">
      <w:pPr>
        <w:pStyle w:val="Listaszerbekezds"/>
        <w:numPr>
          <w:ilvl w:val="0"/>
          <w:numId w:val="7"/>
        </w:numPr>
        <w:spacing w:after="120" w:line="360" w:lineRule="auto"/>
        <w:ind w:left="0" w:hanging="11"/>
        <w:rPr>
          <w:rFonts w:eastAsiaTheme="majorEastAsia" w:cstheme="minorHAnsi"/>
          <w:color w:val="1F3763" w:themeColor="accent1" w:themeShade="7F"/>
          <w:sz w:val="32"/>
          <w:szCs w:val="24"/>
        </w:rPr>
      </w:pPr>
      <w:r w:rsidRPr="005A1CC5">
        <w:rPr>
          <w:rFonts w:eastAsiaTheme="majorEastAsia" w:cstheme="minorHAnsi"/>
          <w:color w:val="1F3763" w:themeColor="accent1" w:themeShade="7F"/>
          <w:sz w:val="32"/>
          <w:szCs w:val="24"/>
        </w:rPr>
        <w:t>A közösségi gazdálkodásról</w:t>
      </w:r>
    </w:p>
    <w:p w14:paraId="16B21E7B" w14:textId="77777777" w:rsidR="00AA5DA4" w:rsidRPr="005A1CC5" w:rsidRDefault="00AA5DA4" w:rsidP="00F478AC">
      <w:pPr>
        <w:spacing w:after="120" w:line="360" w:lineRule="auto"/>
        <w:jc w:val="both"/>
        <w:rPr>
          <w:rFonts w:cstheme="minorHAnsi"/>
          <w:b/>
        </w:rPr>
      </w:pPr>
      <w:r w:rsidRPr="005A1CC5">
        <w:rPr>
          <w:rFonts w:cstheme="minorHAnsi"/>
          <w:b/>
        </w:rPr>
        <w:t xml:space="preserve">Olcsó fosszilisek </w:t>
      </w:r>
    </w:p>
    <w:p w14:paraId="4A4820A9" w14:textId="259238B1" w:rsidR="00AA5DA4" w:rsidRPr="005A1CC5" w:rsidRDefault="00AA5DA4" w:rsidP="00F478AC">
      <w:pPr>
        <w:spacing w:after="120" w:line="360" w:lineRule="auto"/>
        <w:jc w:val="both"/>
        <w:rPr>
          <w:rFonts w:cstheme="minorHAnsi"/>
        </w:rPr>
      </w:pPr>
      <w:r w:rsidRPr="005A1CC5">
        <w:rPr>
          <w:rFonts w:cstheme="minorHAnsi"/>
        </w:rPr>
        <w:t>A nettó energia mutatója, az EROI (</w:t>
      </w:r>
      <w:proofErr w:type="spellStart"/>
      <w:r w:rsidRPr="005A1CC5">
        <w:rPr>
          <w:rFonts w:cstheme="minorHAnsi"/>
        </w:rPr>
        <w:t>energy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return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on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investment</w:t>
      </w:r>
      <w:proofErr w:type="spellEnd"/>
      <w:r w:rsidRPr="005A1CC5">
        <w:rPr>
          <w:rFonts w:cstheme="minorHAnsi"/>
        </w:rPr>
        <w:t xml:space="preserve">) azt az arányszámot fejezi ki, hogy adott energiaforrás mennyi energiát nyújt és annak kinyeréséhez mennyi energiára van szükség (például, az 50:1 mutató azt jelzi, hogy egy egységnyi energiaforrás felhasználásával 50 egységnyi energiához jutok). Az olcsó fosszilisek forrása annak függvénye, hogy mennyi ideig leszünk még képesek viszonylag kedvező energiahatékonysággal a felszínre juttatni az évmilliók alatt felhalmozott tartalékokat. A globális olajtermelés EROI csúcsa (50:1) az 1930-as, 1940-es évekre tehető; szintén ebben az időszakban volt a 'leginkább gazdaságos' a földgáztermelés </w:t>
      </w:r>
      <w:sdt>
        <w:sdtPr>
          <w:rPr>
            <w:rFonts w:cstheme="minorHAnsi"/>
            <w:highlight w:val="yellow"/>
          </w:rPr>
          <w:id w:val="-439844095"/>
          <w:placeholder>
            <w:docPart w:val="DefaultPlaceholder_-1854013440"/>
          </w:placeholder>
        </w:sdtPr>
        <w:sdtContent>
          <w:r w:rsidRPr="00574D5F">
            <w:rPr>
              <w:rFonts w:cstheme="minorHAnsi"/>
              <w:highlight w:val="yellow"/>
            </w:rPr>
            <w:t>(</w:t>
          </w:r>
          <w:proofErr w:type="spellStart"/>
          <w:r w:rsidRPr="00574D5F">
            <w:rPr>
              <w:rFonts w:cstheme="minorHAnsi"/>
              <w:highlight w:val="yellow"/>
            </w:rPr>
            <w:t>EROI</w:t>
          </w:r>
          <w:r w:rsidR="00680372" w:rsidRPr="00574D5F">
            <w:rPr>
              <w:rFonts w:cstheme="minorHAnsi"/>
              <w:highlight w:val="yellow"/>
            </w:rPr>
            <w:t>kijh</w:t>
          </w:r>
          <w:proofErr w:type="spellEnd"/>
          <w:r w:rsidRPr="00574D5F">
            <w:rPr>
              <w:rFonts w:cstheme="minorHAnsi"/>
              <w:highlight w:val="yellow"/>
            </w:rPr>
            <w:t xml:space="preserve"> 150:1).</w:t>
          </w:r>
        </w:sdtContent>
      </w:sdt>
      <w:sdt>
        <w:sdtPr>
          <w:rPr>
            <w:rFonts w:cstheme="minorHAnsi"/>
            <w:highlight w:val="green"/>
          </w:rPr>
          <w:id w:val="1992755707"/>
          <w:placeholder>
            <w:docPart w:val="DefaultPlaceholder_-1854013440"/>
          </w:placeholder>
        </w:sdtPr>
        <w:sdtContent>
          <w:r w:rsidR="00574D5F">
            <w:rPr>
              <w:rFonts w:cstheme="minorHAnsi"/>
              <w:highlight w:val="green"/>
            </w:rPr>
            <w:t xml:space="preserve">(EROI 150:1). </w:t>
          </w:r>
        </w:sdtContent>
      </w:sdt>
      <w:sdt>
        <w:sdtPr>
          <w:rPr>
            <w:rFonts w:cstheme="minorHAnsi"/>
            <w:highlight w:val="green"/>
          </w:rPr>
          <w:id w:val="-493260939"/>
          <w:placeholder>
            <w:docPart w:val="DefaultPlaceholder_-1854013440"/>
          </w:placeholder>
        </w:sdtPr>
        <w:sdtContent>
          <w:r w:rsidR="00680372">
            <w:rPr>
              <w:rFonts w:cstheme="minorHAnsi"/>
              <w:highlight w:val="green"/>
            </w:rPr>
            <w:t xml:space="preserve">(EROI 150:1). </w:t>
          </w:r>
        </w:sdtContent>
      </w:sdt>
      <w:r w:rsidRPr="005A1CC5">
        <w:rPr>
          <w:rFonts w:cstheme="minorHAnsi"/>
        </w:rPr>
        <w:t xml:space="preserve"> Azóta a nettó energiamutató folyamatosa süllyed. A szén nettó energiahányadosa várhatóan 2025 és 2045 között fog tetőzni. A csökkenő nettó energiamutató azt jelenti, hogy a fosszilis-alapú tevékenységeink egyre kisebb hányada eredményez reál-gazdaság növekedést (</w:t>
      </w:r>
      <w:proofErr w:type="spellStart"/>
      <w:r w:rsidRPr="005A1CC5">
        <w:rPr>
          <w:rFonts w:cstheme="minorHAnsi"/>
        </w:rPr>
        <w:t>Nafeez</w:t>
      </w:r>
      <w:proofErr w:type="spellEnd"/>
      <w:r w:rsidRPr="005A1CC5">
        <w:rPr>
          <w:rFonts w:cstheme="minorHAnsi"/>
        </w:rPr>
        <w:t>,</w:t>
      </w:r>
      <w:r w:rsidR="00E81357" w:rsidRPr="005A1CC5">
        <w:rPr>
          <w:rFonts w:cstheme="minorHAnsi"/>
        </w:rPr>
        <w:t xml:space="preserve"> Ahmed</w:t>
      </w:r>
      <w:r w:rsidRPr="005A1CC5">
        <w:rPr>
          <w:rFonts w:cstheme="minorHAnsi"/>
        </w:rPr>
        <w:t xml:space="preserve"> 2017).  </w:t>
      </w:r>
    </w:p>
    <w:p w14:paraId="6C3ADEB4" w14:textId="77777777" w:rsidR="00AA5DA4" w:rsidRPr="005A1CC5" w:rsidRDefault="00AA5DA4" w:rsidP="00F478AC">
      <w:pPr>
        <w:spacing w:after="120" w:line="360" w:lineRule="auto"/>
        <w:jc w:val="both"/>
        <w:rPr>
          <w:rFonts w:cstheme="minorHAnsi"/>
          <w:b/>
        </w:rPr>
      </w:pPr>
      <w:r w:rsidRPr="005A1CC5">
        <w:rPr>
          <w:rFonts w:cstheme="minorHAnsi"/>
          <w:b/>
        </w:rPr>
        <w:t>Növekvő társadalmi egyenlőtlenségek</w:t>
      </w:r>
    </w:p>
    <w:p w14:paraId="297E90D5" w14:textId="62696242" w:rsidR="00AA5DA4" w:rsidRPr="005A1CC5" w:rsidRDefault="00AA5DA4" w:rsidP="00F478AC">
      <w:pPr>
        <w:spacing w:after="120" w:line="360" w:lineRule="auto"/>
        <w:jc w:val="both"/>
        <w:rPr>
          <w:rFonts w:cstheme="minorHAnsi"/>
        </w:rPr>
      </w:pPr>
      <w:r w:rsidRPr="005A1CC5">
        <w:rPr>
          <w:rFonts w:cstheme="minorHAnsi"/>
        </w:rPr>
        <w:t>2015-ben a világ leggazdagabb 1 százalékának vagyona meghaladta a teljes népesség 99 százalékának összvagyonát. A 62 leggazdagabb egyén vagyona egyenlő volt 3,6 milliárd embertársának összvagyonával. Miközben 2010 és 2015 között a felső egy százalék vagyona 45 százalékkal nőtt, az alsó 50 százalék összvagyona 38 százalékkal csökkent</w:t>
      </w:r>
      <w:sdt>
        <w:sdtPr>
          <w:rPr>
            <w:rFonts w:cstheme="minorHAnsi"/>
            <w:highlight w:val="yellow"/>
          </w:rPr>
          <w:id w:val="-185595822"/>
          <w:placeholder>
            <w:docPart w:val="DefaultPlaceholder_-1854013440"/>
          </w:placeholder>
        </w:sdtPr>
        <w:sdtContent>
          <w:r w:rsidRPr="00574D5F">
            <w:rPr>
              <w:rFonts w:cstheme="minorHAnsi"/>
              <w:highlight w:val="yellow"/>
            </w:rPr>
            <w:t xml:space="preserve">. </w:t>
          </w:r>
          <w:r w:rsidR="006A3729" w:rsidRPr="00574D5F">
            <w:rPr>
              <w:rFonts w:cstheme="minorHAnsi"/>
              <w:highlight w:val="yellow"/>
            </w:rPr>
            <w:t>(AEFT</w:t>
          </w:r>
          <w:r w:rsidRPr="00574D5F">
            <w:rPr>
              <w:rFonts w:cstheme="minorHAnsi"/>
              <w:highlight w:val="yellow"/>
            </w:rPr>
            <w:t>, 2015)</w:t>
          </w:r>
        </w:sdtContent>
      </w:sdt>
      <w:sdt>
        <w:sdtPr>
          <w:rPr>
            <w:rFonts w:cstheme="minorHAnsi"/>
            <w:highlight w:val="green"/>
          </w:rPr>
          <w:id w:val="1336422148"/>
          <w:placeholder>
            <w:docPart w:val="DefaultPlaceholder_-1854013440"/>
          </w:placeholder>
        </w:sdtPr>
        <w:sdtContent>
          <w:r w:rsidR="00574D5F">
            <w:rPr>
              <w:rFonts w:cstheme="minorHAnsi"/>
              <w:highlight w:val="green"/>
            </w:rPr>
            <w:t>. (AEFT, 2015)</w:t>
          </w:r>
        </w:sdtContent>
      </w:sdt>
      <w:sdt>
        <w:sdtPr>
          <w:rPr>
            <w:rFonts w:cstheme="minorHAnsi"/>
            <w:highlight w:val="green"/>
          </w:rPr>
          <w:id w:val="-174184032"/>
          <w:placeholder>
            <w:docPart w:val="DefaultPlaceholder_-1854013440"/>
          </w:placeholder>
        </w:sdtPr>
        <w:sdtContent>
          <w:r w:rsidR="00680372">
            <w:rPr>
              <w:rFonts w:cstheme="minorHAnsi"/>
              <w:highlight w:val="green"/>
            </w:rPr>
            <w:t>. (AEFT, 2015)</w:t>
          </w:r>
        </w:sdtContent>
      </w:sdt>
    </w:p>
    <w:p w14:paraId="77871584" w14:textId="3E00C3F3" w:rsidR="00AA5DA4" w:rsidRPr="005A1CC5" w:rsidRDefault="00AA5DA4" w:rsidP="00F478AC">
      <w:pPr>
        <w:spacing w:after="120" w:line="360" w:lineRule="auto"/>
        <w:jc w:val="both"/>
        <w:rPr>
          <w:rFonts w:cstheme="minorHAnsi"/>
        </w:rPr>
      </w:pPr>
      <w:proofErr w:type="spellStart"/>
      <w:r w:rsidRPr="005A1CC5">
        <w:rPr>
          <w:rFonts w:cstheme="minorHAnsi"/>
        </w:rPr>
        <w:t>Winnie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Byanyima</w:t>
      </w:r>
      <w:proofErr w:type="spellEnd"/>
      <w:r w:rsidRPr="005A1CC5">
        <w:rPr>
          <w:rFonts w:cstheme="minorHAnsi"/>
        </w:rPr>
        <w:t xml:space="preserve">, az </w:t>
      </w:r>
      <w:proofErr w:type="spellStart"/>
      <w:r w:rsidRPr="005A1CC5">
        <w:rPr>
          <w:rFonts w:cstheme="minorHAnsi"/>
        </w:rPr>
        <w:t>Oxfam</w:t>
      </w:r>
      <w:proofErr w:type="spellEnd"/>
      <w:r w:rsidRPr="005A1CC5">
        <w:rPr>
          <w:rFonts w:cstheme="minorHAnsi"/>
        </w:rPr>
        <w:t xml:space="preserve"> igazgatója felhívja a figyelmet a "különböző játékszabályokra" - a tény, hogy a 201 vezető vállalatból 188 jelen van legalá</w:t>
      </w:r>
      <w:r w:rsidR="00E81357" w:rsidRPr="005A1CC5">
        <w:rPr>
          <w:rFonts w:cstheme="minorHAnsi"/>
        </w:rPr>
        <w:t>bb egy adóparadicsomban</w:t>
      </w:r>
      <w:r w:rsidR="00E81357" w:rsidRPr="005A1CC5">
        <w:rPr>
          <w:rFonts w:cstheme="minorHAnsi"/>
        </w:rPr>
        <w:tab/>
        <w:t xml:space="preserve"> jelzi, </w:t>
      </w:r>
      <w:r w:rsidRPr="005A1CC5">
        <w:rPr>
          <w:rFonts w:cstheme="minorHAnsi"/>
        </w:rPr>
        <w:t>hogy mennyire aránytalanul oszlanak el a társadalom fenntartásához szükséges terhek (</w:t>
      </w:r>
      <w:r w:rsidR="00627DB1" w:rsidRPr="005A1CC5">
        <w:rPr>
          <w:rFonts w:cstheme="minorHAnsi"/>
        </w:rPr>
        <w:t>POTSAHTW</w:t>
      </w:r>
      <w:r w:rsidRPr="005A1CC5">
        <w:rPr>
          <w:rFonts w:cstheme="minorHAnsi"/>
        </w:rPr>
        <w:t>, 2016).</w:t>
      </w:r>
    </w:p>
    <w:p w14:paraId="3E6A2455" w14:textId="77777777" w:rsidR="00762FAA" w:rsidRPr="005A1CC5" w:rsidRDefault="00762FAA" w:rsidP="00F478AC">
      <w:pPr>
        <w:spacing w:after="120" w:line="360" w:lineRule="auto"/>
        <w:jc w:val="both"/>
        <w:rPr>
          <w:rFonts w:cstheme="minorHAnsi"/>
        </w:rPr>
      </w:pPr>
    </w:p>
    <w:p w14:paraId="33A3A113" w14:textId="77777777" w:rsidR="00AA5DA4" w:rsidRPr="005A1CC5" w:rsidRDefault="00AA5DA4" w:rsidP="00F478AC">
      <w:pPr>
        <w:spacing w:after="120" w:line="360" w:lineRule="auto"/>
        <w:jc w:val="both"/>
        <w:rPr>
          <w:rFonts w:cstheme="minorHAnsi"/>
          <w:b/>
        </w:rPr>
      </w:pPr>
      <w:r w:rsidRPr="005A1CC5">
        <w:rPr>
          <w:rFonts w:cstheme="minorHAnsi"/>
          <w:b/>
        </w:rPr>
        <w:t>Közösségi gazdálkodás, mint alternatíva</w:t>
      </w:r>
    </w:p>
    <w:p w14:paraId="2767184A" w14:textId="7F500220" w:rsidR="00AA5DA4" w:rsidRPr="005A1CC5" w:rsidRDefault="00AA5DA4" w:rsidP="00F478A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5A1CC5">
        <w:rPr>
          <w:rFonts w:cstheme="minorHAnsi"/>
        </w:rPr>
        <w:t xml:space="preserve">A profitorientált vállalkozások körében is vannak olyan szervezetek, melyek tudatosan törekednek a teljes termelési folyamatukat a bioszféra kapacitásainak figyelembevételével folytatni. Ugyanakkor a tapasztalat azt mutatja, hogy még ezen vállalatok is gyakran nem fenntartható módon működnek. Mind a </w:t>
      </w:r>
      <w:proofErr w:type="spellStart"/>
      <w:r w:rsidRPr="005A1CC5">
        <w:rPr>
          <w:rFonts w:cstheme="minorHAnsi"/>
        </w:rPr>
        <w:t>Ben</w:t>
      </w:r>
      <w:proofErr w:type="spellEnd"/>
      <w:r w:rsidRPr="005A1CC5">
        <w:rPr>
          <w:rFonts w:cstheme="minorHAnsi"/>
        </w:rPr>
        <w:t xml:space="preserve"> &amp; </w:t>
      </w:r>
      <w:proofErr w:type="spellStart"/>
      <w:r w:rsidRPr="005A1CC5">
        <w:rPr>
          <w:rFonts w:cstheme="minorHAnsi"/>
        </w:rPr>
        <w:t>Jerry's</w:t>
      </w:r>
      <w:proofErr w:type="spellEnd"/>
      <w:r w:rsidRPr="005A1CC5">
        <w:rPr>
          <w:rFonts w:cstheme="minorHAnsi"/>
        </w:rPr>
        <w:t>, mind a Body Shop számára egyes termékeik előállításának alapanyagaként szolgál a brazíliai esőerdőkben honos egy mogyorófajta. A két vállalat a termelési folyamat kezdetén szorosan együttműködött a helyi csoportokkal annak érdekében, hogy a szükséges alapanyagot környezettudatosan és a kölcsönös haszonnal szerezze be. Ugyanakkor az előállított termékek sikeressége révén a kereslet az adott termékek iránt egyre nőtt; végül mindkét cég környezetpusztító tevékenységek finan</w:t>
      </w:r>
      <w:r w:rsidR="00A40E4C" w:rsidRPr="005A1CC5">
        <w:rPr>
          <w:rFonts w:cstheme="minorHAnsi"/>
        </w:rPr>
        <w:t xml:space="preserve">szírozójává vált </w:t>
      </w:r>
      <w:sdt>
        <w:sdtPr>
          <w:rPr>
            <w:rFonts w:cstheme="minorHAnsi"/>
            <w:highlight w:val="yellow"/>
          </w:rPr>
          <w:id w:val="-1611582302"/>
          <w:placeholder>
            <w:docPart w:val="DefaultPlaceholder_-1854013440"/>
          </w:placeholder>
        </w:sdtPr>
        <w:sdtContent>
          <w:r w:rsidR="00A40E4C" w:rsidRPr="00574D5F">
            <w:rPr>
              <w:rFonts w:cstheme="minorHAnsi"/>
              <w:highlight w:val="yellow"/>
            </w:rPr>
            <w:t>(Zsolnai, 2002.</w:t>
          </w:r>
          <w:r w:rsidRPr="00574D5F">
            <w:rPr>
              <w:rFonts w:cstheme="minorHAnsi"/>
              <w:highlight w:val="yellow"/>
            </w:rPr>
            <w:t xml:space="preserve"> Pataki, 2002).</w:t>
          </w:r>
        </w:sdtContent>
      </w:sdt>
      <w:sdt>
        <w:sdtPr>
          <w:rPr>
            <w:rFonts w:cstheme="minorHAnsi"/>
            <w:highlight w:val="green"/>
          </w:rPr>
          <w:id w:val="-1875612783"/>
          <w:placeholder>
            <w:docPart w:val="DefaultPlaceholder_-1854013440"/>
          </w:placeholder>
        </w:sdtPr>
        <w:sdtContent>
          <w:r w:rsidR="00574D5F">
            <w:rPr>
              <w:rFonts w:cstheme="minorHAnsi"/>
              <w:highlight w:val="green"/>
            </w:rPr>
            <w:t>(Zsolnai, 2002. Pataki, 2002).</w:t>
          </w:r>
        </w:sdtContent>
      </w:sdt>
      <w:sdt>
        <w:sdtPr>
          <w:rPr>
            <w:rFonts w:cstheme="minorHAnsi"/>
            <w:highlight w:val="green"/>
          </w:rPr>
          <w:id w:val="194979911"/>
          <w:placeholder>
            <w:docPart w:val="DefaultPlaceholder_-1854013440"/>
          </w:placeholder>
        </w:sdtPr>
        <w:sdtContent>
          <w:r w:rsidR="00680372">
            <w:rPr>
              <w:rFonts w:cstheme="minorHAnsi"/>
              <w:highlight w:val="green"/>
            </w:rPr>
            <w:t>(Zsolnai, 2002. Pataki, 2002).</w:t>
          </w:r>
        </w:sdtContent>
      </w:sdt>
      <w:r w:rsidRPr="005A1CC5">
        <w:rPr>
          <w:rFonts w:cstheme="minorHAnsi"/>
        </w:rPr>
        <w:t xml:space="preserve"> </w:t>
      </w:r>
    </w:p>
    <w:p w14:paraId="391BA62D" w14:textId="77777777" w:rsidR="00AA5DA4" w:rsidRPr="005A1CC5" w:rsidRDefault="00AA5DA4" w:rsidP="00F478AC">
      <w:pPr>
        <w:spacing w:after="120" w:line="360" w:lineRule="auto"/>
        <w:jc w:val="both"/>
        <w:rPr>
          <w:rFonts w:cstheme="minorHAnsi"/>
        </w:rPr>
      </w:pPr>
    </w:p>
    <w:p w14:paraId="74C2D746" w14:textId="145C0E94" w:rsidR="00AA5DA4" w:rsidRPr="005A1CC5" w:rsidRDefault="00AA5DA4" w:rsidP="00F478AC">
      <w:pPr>
        <w:spacing w:after="120" w:line="360" w:lineRule="auto"/>
        <w:jc w:val="both"/>
        <w:rPr>
          <w:rFonts w:cstheme="minorHAnsi"/>
        </w:rPr>
      </w:pPr>
      <w:r w:rsidRPr="005A1CC5">
        <w:rPr>
          <w:rFonts w:cstheme="minorHAnsi"/>
        </w:rPr>
        <w:t xml:space="preserve">Láthatjuk, a fenntartható Föld érdekében a gazdasági tevékenységeket át kell alakítanunk; elengedhetetlen egy, a jelenlegitől eltérő gondolkodási és érték-keretrendszer alkalmazása, mely az ember és környezete közötti szimbiózist a gazdaság progresszív, társadalmi intézménnyé történő formálásával támogatja (Zsolnai </w:t>
      </w:r>
      <w:proofErr w:type="spellStart"/>
      <w:r w:rsidRPr="005A1CC5">
        <w:rPr>
          <w:rFonts w:cstheme="minorHAnsi"/>
        </w:rPr>
        <w:t>et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al</w:t>
      </w:r>
      <w:proofErr w:type="spellEnd"/>
      <w:r w:rsidRPr="005A1CC5">
        <w:rPr>
          <w:rFonts w:cstheme="minorHAnsi"/>
        </w:rPr>
        <w:t xml:space="preserve">, 2016). Ilyen keretrendszert - a piaci logikától eltérőt - nyújt a közösségi gazdálkodás. </w:t>
      </w:r>
    </w:p>
    <w:p w14:paraId="71C98AD8" w14:textId="5803FE0D" w:rsidR="00AA5DA4" w:rsidRPr="005A1CC5" w:rsidRDefault="00AA5DA4" w:rsidP="00F478A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5A1CC5">
        <w:rPr>
          <w:rFonts w:cstheme="minorHAnsi"/>
        </w:rPr>
        <w:t xml:space="preserve">A közösségi gazdálkodás célja, hogy a közösségben érintettek számára </w:t>
      </w:r>
      <w:proofErr w:type="spellStart"/>
      <w:r w:rsidRPr="005A1CC5">
        <w:rPr>
          <w:rFonts w:cstheme="minorHAnsi"/>
        </w:rPr>
        <w:t>szubsztantív</w:t>
      </w:r>
      <w:proofErr w:type="spellEnd"/>
      <w:r w:rsidRPr="005A1CC5">
        <w:rPr>
          <w:rFonts w:cstheme="minorHAnsi"/>
        </w:rPr>
        <w:t xml:space="preserve"> értéket hozzon létre, szem előtt tartva az érintettek jól-létét; tevékenysége ezáltal nem feltétlenül piaci alapú. Keretként szolgálhat olyan tevékenységeknek, melyek a piaci logika mentén nem valósulnának meg, vagy másképpen (nem az érintettek jól-létét szem előtt tartva). Példaként szolgál a 3D nyomtatók esete. A technológia már a '80-as évek óta ismert, azonban kezdetben nem került piaci forgalomba feltételezett alacsony kereslet miatt, majd a szabadalmi jogok egy körülbelül 50 fős profitmaximalizáló vállalathoz kerültek; a termék piaci ára 25 és 40 ezer dollár körül mozgott. A szabadalmi jog lejártát követően önszerveződő önkéntes hacker csoportok (2010-ben összesen körülbelül 5000 fő) előálltak a saját 3D nyomtatójukkal, melynek piaci ára körülbelül 875 dollár volt (</w:t>
      </w:r>
      <w:proofErr w:type="spellStart"/>
      <w:r w:rsidRPr="005A1CC5">
        <w:rPr>
          <w:rFonts w:cstheme="minorHAnsi"/>
        </w:rPr>
        <w:t>Troncoso</w:t>
      </w:r>
      <w:proofErr w:type="spellEnd"/>
      <w:r w:rsidRPr="005A1CC5">
        <w:rPr>
          <w:rFonts w:cstheme="minorHAnsi"/>
        </w:rPr>
        <w:t xml:space="preserve"> és </w:t>
      </w:r>
      <w:proofErr w:type="spellStart"/>
      <w:r w:rsidRPr="005A1CC5">
        <w:rPr>
          <w:rFonts w:cstheme="minorHAnsi"/>
        </w:rPr>
        <w:t>Utratel</w:t>
      </w:r>
      <w:proofErr w:type="spellEnd"/>
      <w:r w:rsidRPr="005A1CC5">
        <w:rPr>
          <w:rFonts w:cstheme="minorHAnsi"/>
        </w:rPr>
        <w:t xml:space="preserve">, 2015). A 3D esete a digitális közösségi gazdálkodásra példa, ugyanakkor sok más területen is megjelenik a közösségi gazdálkodás logikája. Ilyenek például a az Új-Mexikó állambeli </w:t>
      </w:r>
      <w:proofErr w:type="spellStart"/>
      <w:r w:rsidRPr="005A1CC5">
        <w:rPr>
          <w:rFonts w:cstheme="minorHAnsi"/>
        </w:rPr>
        <w:t>acequias</w:t>
      </w:r>
      <w:proofErr w:type="spellEnd"/>
      <w:r w:rsidRPr="005A1CC5">
        <w:rPr>
          <w:rFonts w:cstheme="minorHAnsi"/>
        </w:rPr>
        <w:t xml:space="preserve"> rendszerei, melyek az érintett közösségek vízellátását teszik lehetővé fenntartható módon; Peruban, Dél-Afrikai Köztársaságban és Ausztráliában az őslakosok az élőhelyük és a felhalmozott között tudásuk megóvását a </w:t>
      </w:r>
      <w:proofErr w:type="spellStart"/>
      <w:r w:rsidRPr="005A1CC5">
        <w:rPr>
          <w:rFonts w:cstheme="minorHAnsi"/>
        </w:rPr>
        <w:t>piacosítástól</w:t>
      </w:r>
      <w:proofErr w:type="spellEnd"/>
      <w:r w:rsidRPr="005A1CC5">
        <w:rPr>
          <w:rFonts w:cstheme="minorHAnsi"/>
        </w:rPr>
        <w:t xml:space="preserve"> (például helyi növényfajok védelme GMO technológiáktól és nemzetközi kereskedelemtől); a megosztó közösségi gazdálkodó egységek, mint az idő bankok, a vér és szervdonor szervezetek; a tudományos </w:t>
      </w:r>
      <w:r w:rsidRPr="005A1CC5">
        <w:rPr>
          <w:rFonts w:cstheme="minorHAnsi"/>
        </w:rPr>
        <w:lastRenderedPageBreak/>
        <w:t>közösségek melyek nem piaci logika szerint állítanak elő tudást (</w:t>
      </w:r>
      <w:proofErr w:type="spellStart"/>
      <w:r w:rsidRPr="005A1CC5">
        <w:rPr>
          <w:rFonts w:cstheme="minorHAnsi"/>
        </w:rPr>
        <w:t>Bollier</w:t>
      </w:r>
      <w:proofErr w:type="spellEnd"/>
      <w:r w:rsidRPr="005A1CC5">
        <w:rPr>
          <w:rFonts w:cstheme="minorHAnsi"/>
        </w:rPr>
        <w:t xml:space="preserve">, </w:t>
      </w:r>
      <w:r w:rsidR="00A40E4C" w:rsidRPr="005A1CC5">
        <w:rPr>
          <w:rFonts w:cstheme="minorHAnsi"/>
        </w:rPr>
        <w:t xml:space="preserve">D. </w:t>
      </w:r>
      <w:r w:rsidRPr="005A1CC5">
        <w:rPr>
          <w:rFonts w:cstheme="minorHAnsi"/>
        </w:rPr>
        <w:t>2014); a világszerte működő közösségi agrártermelés formái (Zsolnai és Podmaniczky, 2010).</w:t>
      </w:r>
    </w:p>
    <w:p w14:paraId="1E796602" w14:textId="77777777" w:rsidR="00AA5DA4" w:rsidRPr="005A1CC5" w:rsidRDefault="00AA5DA4" w:rsidP="00AA5DA4">
      <w:pPr>
        <w:spacing w:after="120" w:line="240" w:lineRule="auto"/>
        <w:jc w:val="both"/>
        <w:rPr>
          <w:rFonts w:cstheme="minorHAnsi"/>
        </w:rPr>
      </w:pPr>
    </w:p>
    <w:p w14:paraId="324B2CC6" w14:textId="77777777" w:rsidR="00AA5DA4" w:rsidRPr="005A1CC5" w:rsidRDefault="00AA5DA4" w:rsidP="00BB7DA9">
      <w:pPr>
        <w:pStyle w:val="Listaszerbekezds"/>
        <w:numPr>
          <w:ilvl w:val="0"/>
          <w:numId w:val="7"/>
        </w:numPr>
        <w:spacing w:after="120" w:line="360" w:lineRule="auto"/>
        <w:ind w:left="0" w:hanging="11"/>
        <w:rPr>
          <w:rFonts w:eastAsiaTheme="majorEastAsia" w:cstheme="minorHAnsi"/>
          <w:color w:val="1F3763" w:themeColor="accent1" w:themeShade="7F"/>
          <w:sz w:val="32"/>
          <w:szCs w:val="24"/>
        </w:rPr>
      </w:pPr>
      <w:r w:rsidRPr="005A1CC5">
        <w:rPr>
          <w:rFonts w:eastAsiaTheme="majorEastAsia" w:cstheme="minorHAnsi"/>
          <w:color w:val="1F3763" w:themeColor="accent1" w:themeShade="7F"/>
          <w:sz w:val="32"/>
          <w:szCs w:val="24"/>
        </w:rPr>
        <w:t>Hivatkozások</w:t>
      </w:r>
    </w:p>
    <w:p w14:paraId="79DCFBE2" w14:textId="2AC0AB9E" w:rsidR="00A40E4C" w:rsidRPr="005A1CC5" w:rsidRDefault="00A40E4C" w:rsidP="003A56B4">
      <w:pPr>
        <w:pStyle w:val="Listaszerbekezds"/>
        <w:numPr>
          <w:ilvl w:val="0"/>
          <w:numId w:val="9"/>
        </w:numPr>
        <w:spacing w:after="120" w:line="240" w:lineRule="auto"/>
        <w:jc w:val="both"/>
        <w:rPr>
          <w:rFonts w:cstheme="minorHAnsi"/>
        </w:rPr>
      </w:pPr>
      <w:r w:rsidRPr="005A1CC5">
        <w:rPr>
          <w:rFonts w:cstheme="minorHAnsi"/>
        </w:rPr>
        <w:t>AEFT (201</w:t>
      </w:r>
      <w:r w:rsidR="00D976FB" w:rsidRPr="005A1CC5">
        <w:rPr>
          <w:rFonts w:cstheme="minorHAnsi"/>
        </w:rPr>
        <w:t>6</w:t>
      </w:r>
      <w:r w:rsidRPr="005A1CC5">
        <w:rPr>
          <w:rFonts w:cstheme="minorHAnsi"/>
        </w:rPr>
        <w:t xml:space="preserve">): An </w:t>
      </w:r>
      <w:proofErr w:type="spellStart"/>
      <w:r w:rsidRPr="005A1CC5">
        <w:rPr>
          <w:rFonts w:cstheme="minorHAnsi"/>
        </w:rPr>
        <w:t>economy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for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the</w:t>
      </w:r>
      <w:proofErr w:type="spellEnd"/>
      <w:r w:rsidRPr="005A1CC5">
        <w:rPr>
          <w:rFonts w:cstheme="minorHAnsi"/>
        </w:rPr>
        <w:t xml:space="preserve"> 1%. </w:t>
      </w:r>
      <w:hyperlink r:id="rId11" w:history="1">
        <w:r w:rsidRPr="005A1CC5">
          <w:rPr>
            <w:rStyle w:val="Hiperhivatkozs"/>
            <w:rFonts w:cstheme="minorHAnsi"/>
          </w:rPr>
          <w:t>https://www.oxfam.org/en/research/economy-1</w:t>
        </w:r>
      </w:hyperlink>
      <w:r w:rsidRPr="005A1CC5">
        <w:rPr>
          <w:rFonts w:cstheme="minorHAnsi"/>
        </w:rPr>
        <w:t xml:space="preserve"> ....</w:t>
      </w:r>
    </w:p>
    <w:p w14:paraId="1907CB4B" w14:textId="60B70A57" w:rsidR="00A40E4C" w:rsidRPr="005A1CC5" w:rsidRDefault="00AA5DA4" w:rsidP="003A56B4">
      <w:pPr>
        <w:pStyle w:val="Listaszerbekezds"/>
        <w:numPr>
          <w:ilvl w:val="0"/>
          <w:numId w:val="9"/>
        </w:numPr>
        <w:spacing w:after="120" w:line="240" w:lineRule="auto"/>
        <w:jc w:val="both"/>
        <w:rPr>
          <w:rFonts w:cstheme="minorHAnsi"/>
        </w:rPr>
      </w:pPr>
      <w:proofErr w:type="spellStart"/>
      <w:r w:rsidRPr="005A1CC5">
        <w:rPr>
          <w:rFonts w:cstheme="minorHAnsi"/>
        </w:rPr>
        <w:t>Nafeez</w:t>
      </w:r>
      <w:proofErr w:type="spellEnd"/>
      <w:r w:rsidRPr="005A1CC5">
        <w:rPr>
          <w:rFonts w:cstheme="minorHAnsi"/>
        </w:rPr>
        <w:t>, A</w:t>
      </w:r>
      <w:r w:rsidR="00D976FB" w:rsidRPr="005A1CC5">
        <w:rPr>
          <w:rFonts w:cstheme="minorHAnsi"/>
        </w:rPr>
        <w:t>.</w:t>
      </w:r>
      <w:r w:rsidRPr="005A1CC5">
        <w:rPr>
          <w:rFonts w:cstheme="minorHAnsi"/>
        </w:rPr>
        <w:t xml:space="preserve"> (2017): </w:t>
      </w:r>
      <w:proofErr w:type="spellStart"/>
      <w:r w:rsidRPr="005A1CC5">
        <w:rPr>
          <w:rFonts w:cstheme="minorHAnsi"/>
        </w:rPr>
        <w:t>Inside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the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new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economic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science</w:t>
      </w:r>
      <w:proofErr w:type="spellEnd"/>
      <w:r w:rsidRPr="005A1CC5">
        <w:rPr>
          <w:rFonts w:cstheme="minorHAnsi"/>
        </w:rPr>
        <w:t xml:space="preserve"> of </w:t>
      </w:r>
      <w:proofErr w:type="spellStart"/>
      <w:r w:rsidRPr="005A1CC5">
        <w:rPr>
          <w:rFonts w:cstheme="minorHAnsi"/>
        </w:rPr>
        <w:t>capitalism’s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slow-burn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energy</w:t>
      </w:r>
      <w:proofErr w:type="spellEnd"/>
      <w:r w:rsidRPr="005A1CC5">
        <w:rPr>
          <w:rFonts w:cstheme="minorHAnsi"/>
        </w:rPr>
        <w:t> </w:t>
      </w:r>
      <w:proofErr w:type="spellStart"/>
      <w:r w:rsidRPr="005A1CC5">
        <w:rPr>
          <w:rFonts w:cstheme="minorHAnsi"/>
        </w:rPr>
        <w:t>collapse</w:t>
      </w:r>
      <w:proofErr w:type="spellEnd"/>
      <w:r w:rsidR="00B809EB" w:rsidRPr="005A1CC5">
        <w:rPr>
          <w:rFonts w:cstheme="minorHAnsi"/>
        </w:rPr>
        <w:t>.</w:t>
      </w:r>
      <w:r w:rsidR="000D05A3" w:rsidRPr="005A1CC5">
        <w:rPr>
          <w:rFonts w:cstheme="minorHAnsi"/>
        </w:rPr>
        <w:t xml:space="preserve"> </w:t>
      </w:r>
      <w:hyperlink r:id="rId12" w:history="1">
        <w:r w:rsidR="00A40E4C" w:rsidRPr="005A1CC5">
          <w:rPr>
            <w:rStyle w:val="Hiperhivatkozs"/>
            <w:rFonts w:cstheme="minorHAnsi"/>
          </w:rPr>
          <w:t>https://medium.com/insurge-intelligence/the-new-economic-science-of-capitalisms-slow-burn-energy-collapse-d07344fab6be</w:t>
        </w:r>
      </w:hyperlink>
      <w:r w:rsidR="00B809EB" w:rsidRPr="005A1CC5">
        <w:rPr>
          <w:rStyle w:val="Hiperhivatkozs"/>
          <w:rFonts w:cstheme="minorHAnsi"/>
        </w:rPr>
        <w:t>,</w:t>
      </w:r>
      <w:r w:rsidR="00A40E4C" w:rsidRPr="005A1CC5">
        <w:rPr>
          <w:rFonts w:cstheme="minorHAnsi"/>
        </w:rPr>
        <w:t xml:space="preserve"> Letöltés dátuma: 2020. március 9.</w:t>
      </w:r>
    </w:p>
    <w:p w14:paraId="033BE6BF" w14:textId="73ED984F" w:rsidR="006A2CCB" w:rsidRPr="005A1CC5" w:rsidRDefault="006A2CCB" w:rsidP="003A56B4">
      <w:pPr>
        <w:pStyle w:val="Listaszerbekezds"/>
        <w:numPr>
          <w:ilvl w:val="0"/>
          <w:numId w:val="9"/>
        </w:numPr>
        <w:spacing w:after="120" w:line="240" w:lineRule="auto"/>
        <w:jc w:val="both"/>
        <w:rPr>
          <w:rFonts w:cstheme="minorHAnsi"/>
        </w:rPr>
      </w:pPr>
      <w:r w:rsidRPr="005A1CC5">
        <w:rPr>
          <w:rFonts w:cstheme="minorHAnsi"/>
        </w:rPr>
        <w:t xml:space="preserve">POTSAHTW </w:t>
      </w:r>
      <w:r w:rsidR="00AA5DA4" w:rsidRPr="005A1CC5">
        <w:rPr>
          <w:rFonts w:cstheme="minorHAnsi"/>
        </w:rPr>
        <w:t>(</w:t>
      </w:r>
      <w:proofErr w:type="spellStart"/>
      <w:r w:rsidR="00AA5DA4" w:rsidRPr="005A1CC5">
        <w:rPr>
          <w:rFonts w:cstheme="minorHAnsi"/>
        </w:rPr>
        <w:t>Oxfam</w:t>
      </w:r>
      <w:proofErr w:type="spellEnd"/>
      <w:r w:rsidR="00AA5DA4" w:rsidRPr="005A1CC5">
        <w:rPr>
          <w:rFonts w:cstheme="minorHAnsi"/>
        </w:rPr>
        <w:t xml:space="preserve">, 2016): 62 </w:t>
      </w:r>
      <w:proofErr w:type="spellStart"/>
      <w:r w:rsidR="00AA5DA4" w:rsidRPr="005A1CC5">
        <w:rPr>
          <w:rFonts w:cstheme="minorHAnsi"/>
        </w:rPr>
        <w:t>people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own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the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same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as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half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the</w:t>
      </w:r>
      <w:proofErr w:type="spellEnd"/>
      <w:r w:rsidR="00AA5DA4" w:rsidRPr="005A1CC5">
        <w:rPr>
          <w:rFonts w:cstheme="minorHAnsi"/>
        </w:rPr>
        <w:t xml:space="preserve"> </w:t>
      </w:r>
      <w:proofErr w:type="spellStart"/>
      <w:r w:rsidR="00AA5DA4" w:rsidRPr="005A1CC5">
        <w:rPr>
          <w:rFonts w:cstheme="minorHAnsi"/>
        </w:rPr>
        <w:t>world</w:t>
      </w:r>
      <w:proofErr w:type="spellEnd"/>
      <w:r w:rsidR="00630C7C" w:rsidRPr="005A1CC5">
        <w:rPr>
          <w:rFonts w:cstheme="minorHAnsi"/>
        </w:rPr>
        <w:t xml:space="preserve">. </w:t>
      </w:r>
      <w:hyperlink r:id="rId13" w:history="1">
        <w:r w:rsidRPr="005A1CC5">
          <w:rPr>
            <w:rStyle w:val="Hiperhivatkozs"/>
            <w:rFonts w:cstheme="minorHAnsi"/>
          </w:rPr>
          <w:t>https://www.oxfam.org/en/press-releases/62-people-own-same-half-world-reveals-oxfam-davos-report</w:t>
        </w:r>
      </w:hyperlink>
      <w:r w:rsidR="00DF2891" w:rsidRPr="005A1CC5">
        <w:rPr>
          <w:rFonts w:cstheme="minorHAnsi"/>
        </w:rPr>
        <w:t>, Letöltés dátuma: 2019. március 19.</w:t>
      </w:r>
    </w:p>
    <w:p w14:paraId="0168D5BB" w14:textId="7A3E4304" w:rsidR="00EC63CE" w:rsidRPr="005A1CC5" w:rsidRDefault="00AA5DA4" w:rsidP="00093C32">
      <w:pPr>
        <w:pStyle w:val="Listaszerbekezds"/>
        <w:numPr>
          <w:ilvl w:val="0"/>
          <w:numId w:val="9"/>
        </w:numPr>
        <w:spacing w:after="120" w:line="240" w:lineRule="auto"/>
        <w:jc w:val="both"/>
        <w:rPr>
          <w:rFonts w:cstheme="minorHAnsi"/>
        </w:rPr>
      </w:pPr>
      <w:proofErr w:type="spellStart"/>
      <w:r w:rsidRPr="005A1CC5">
        <w:rPr>
          <w:rFonts w:cstheme="minorHAnsi"/>
        </w:rPr>
        <w:t>Troncoso</w:t>
      </w:r>
      <w:proofErr w:type="spellEnd"/>
      <w:r w:rsidRPr="005A1CC5">
        <w:rPr>
          <w:rFonts w:cstheme="minorHAnsi"/>
        </w:rPr>
        <w:t>, S</w:t>
      </w:r>
      <w:r w:rsidR="00877E02" w:rsidRPr="005A1CC5">
        <w:rPr>
          <w:rFonts w:cstheme="minorHAnsi"/>
        </w:rPr>
        <w:t>.</w:t>
      </w:r>
      <w:r w:rsidRPr="005A1CC5">
        <w:rPr>
          <w:rFonts w:cstheme="minorHAnsi"/>
        </w:rPr>
        <w:t xml:space="preserve"> és </w:t>
      </w:r>
      <w:proofErr w:type="spellStart"/>
      <w:r w:rsidRPr="005A1CC5">
        <w:rPr>
          <w:rFonts w:cstheme="minorHAnsi"/>
        </w:rPr>
        <w:t>Utratel</w:t>
      </w:r>
      <w:proofErr w:type="spellEnd"/>
      <w:r w:rsidRPr="005A1CC5">
        <w:rPr>
          <w:rFonts w:cstheme="minorHAnsi"/>
        </w:rPr>
        <w:t>, A</w:t>
      </w:r>
      <w:r w:rsidR="00877E02" w:rsidRPr="005A1CC5">
        <w:rPr>
          <w:rFonts w:cstheme="minorHAnsi"/>
        </w:rPr>
        <w:t xml:space="preserve">. </w:t>
      </w:r>
      <w:r w:rsidRPr="005A1CC5">
        <w:rPr>
          <w:rFonts w:cstheme="minorHAnsi"/>
        </w:rPr>
        <w:t>M</w:t>
      </w:r>
      <w:r w:rsidR="00877E02" w:rsidRPr="005A1CC5">
        <w:rPr>
          <w:rFonts w:cstheme="minorHAnsi"/>
        </w:rPr>
        <w:t>.</w:t>
      </w:r>
      <w:r w:rsidRPr="005A1CC5">
        <w:rPr>
          <w:rFonts w:cstheme="minorHAnsi"/>
        </w:rPr>
        <w:t xml:space="preserve"> (2015): </w:t>
      </w:r>
      <w:proofErr w:type="spellStart"/>
      <w:r w:rsidRPr="005A1CC5">
        <w:rPr>
          <w:rFonts w:cstheme="minorHAnsi"/>
        </w:rPr>
        <w:t>Commons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Transition</w:t>
      </w:r>
      <w:proofErr w:type="spellEnd"/>
      <w:r w:rsidRPr="005A1CC5">
        <w:rPr>
          <w:rFonts w:cstheme="minorHAnsi"/>
        </w:rPr>
        <w:t>: Policy</w:t>
      </w:r>
      <w:r w:rsidR="00EC63CE"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Proposals</w:t>
      </w:r>
      <w:proofErr w:type="spellEnd"/>
      <w:r w:rsidRPr="005A1CC5">
        <w:rPr>
          <w:rFonts w:cstheme="minorHAnsi"/>
        </w:rPr>
        <w:t xml:space="preserve"> </w:t>
      </w:r>
      <w:proofErr w:type="spellStart"/>
      <w:r w:rsidRPr="005A1CC5">
        <w:rPr>
          <w:rFonts w:cstheme="minorHAnsi"/>
        </w:rPr>
        <w:t>for</w:t>
      </w:r>
      <w:proofErr w:type="spellEnd"/>
      <w:r w:rsidRPr="005A1CC5">
        <w:rPr>
          <w:rFonts w:cstheme="minorHAnsi"/>
        </w:rPr>
        <w:t xml:space="preserve"> an Open </w:t>
      </w:r>
      <w:proofErr w:type="spellStart"/>
      <w:r w:rsidRPr="005A1CC5">
        <w:rPr>
          <w:rFonts w:cstheme="minorHAnsi"/>
        </w:rPr>
        <w:t>Knowledge</w:t>
      </w:r>
      <w:proofErr w:type="spellEnd"/>
      <w:r w:rsidR="00C34C1F" w:rsidRPr="005A1CC5">
        <w:rPr>
          <w:rFonts w:cstheme="minorHAnsi"/>
        </w:rPr>
        <w:t xml:space="preserve">. </w:t>
      </w:r>
      <w:hyperlink r:id="rId14" w:history="1">
        <w:r w:rsidR="00C34C1F" w:rsidRPr="005A1CC5">
          <w:rPr>
            <w:rStyle w:val="Hiperhivatkozs"/>
            <w:rFonts w:cstheme="minorHAnsi"/>
          </w:rPr>
          <w:t>https://www.commonslabantwerpen.org/publicaties/2018/7/25/commons-transition-policy-proposals-for-an-open-knowledge-society</w:t>
        </w:r>
      </w:hyperlink>
      <w:r w:rsidR="00877E02" w:rsidRPr="005A1CC5">
        <w:rPr>
          <w:rFonts w:cstheme="minorHAnsi"/>
        </w:rPr>
        <w:t xml:space="preserve">, </w:t>
      </w:r>
      <w:r w:rsidR="00EC63CE" w:rsidRPr="005A1CC5">
        <w:rPr>
          <w:rFonts w:cstheme="minorHAnsi"/>
        </w:rPr>
        <w:t xml:space="preserve">Letöltés dátuma: 2020. </w:t>
      </w:r>
      <w:r w:rsidR="00877E02" w:rsidRPr="005A1CC5">
        <w:rPr>
          <w:rFonts w:cstheme="minorHAnsi"/>
        </w:rPr>
        <w:t xml:space="preserve">március </w:t>
      </w:r>
      <w:r w:rsidR="00EC63CE" w:rsidRPr="005A1CC5">
        <w:rPr>
          <w:rFonts w:cstheme="minorHAnsi"/>
        </w:rPr>
        <w:t>08.</w:t>
      </w:r>
    </w:p>
    <w:p w14:paraId="77672DF8" w14:textId="77777777" w:rsidR="003A56B4" w:rsidRPr="005A1CC5" w:rsidRDefault="003A56B4" w:rsidP="003A56B4">
      <w:pPr>
        <w:pStyle w:val="Listaszerbekezds"/>
        <w:numPr>
          <w:ilvl w:val="0"/>
          <w:numId w:val="9"/>
        </w:numPr>
        <w:spacing w:after="120" w:line="240" w:lineRule="auto"/>
        <w:rPr>
          <w:rFonts w:cstheme="minorHAnsi"/>
          <w:sz w:val="24"/>
          <w:szCs w:val="24"/>
        </w:rPr>
      </w:pPr>
      <w:proofErr w:type="spellStart"/>
      <w:r w:rsidRPr="005A1CC5">
        <w:rPr>
          <w:rFonts w:cstheme="minorHAnsi"/>
          <w:sz w:val="24"/>
          <w:szCs w:val="24"/>
        </w:rPr>
        <w:t>Ternai</w:t>
      </w:r>
      <w:proofErr w:type="spellEnd"/>
      <w:r w:rsidRPr="005A1CC5">
        <w:rPr>
          <w:rFonts w:cstheme="minorHAnsi"/>
          <w:sz w:val="24"/>
          <w:szCs w:val="24"/>
        </w:rPr>
        <w:t xml:space="preserve"> Katalin (2011): A New </w:t>
      </w:r>
      <w:proofErr w:type="spellStart"/>
      <w:r w:rsidRPr="005A1CC5">
        <w:rPr>
          <w:rFonts w:cstheme="minorHAnsi"/>
          <w:sz w:val="24"/>
          <w:szCs w:val="24"/>
        </w:rPr>
        <w:t>Approach</w:t>
      </w:r>
      <w:proofErr w:type="spellEnd"/>
      <w:r w:rsidRPr="005A1CC5">
        <w:rPr>
          <w:rFonts w:cstheme="minorHAnsi"/>
          <w:sz w:val="24"/>
          <w:szCs w:val="24"/>
        </w:rPr>
        <w:t xml:space="preserve"> in </w:t>
      </w:r>
      <w:proofErr w:type="spellStart"/>
      <w:r w:rsidRPr="005A1CC5">
        <w:rPr>
          <w:rFonts w:cstheme="minorHAnsi"/>
          <w:sz w:val="24"/>
          <w:szCs w:val="24"/>
        </w:rPr>
        <w:t>the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Development</w:t>
      </w:r>
      <w:proofErr w:type="spellEnd"/>
      <w:r w:rsidRPr="005A1CC5">
        <w:rPr>
          <w:rFonts w:cstheme="minorHAnsi"/>
          <w:sz w:val="24"/>
          <w:szCs w:val="24"/>
        </w:rPr>
        <w:t xml:space="preserve"> of </w:t>
      </w:r>
      <w:proofErr w:type="spellStart"/>
      <w:r w:rsidRPr="005A1CC5">
        <w:rPr>
          <w:rFonts w:cstheme="minorHAnsi"/>
          <w:sz w:val="24"/>
          <w:szCs w:val="24"/>
        </w:rPr>
        <w:t>Ontology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Based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Workflow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Architectures</w:t>
      </w:r>
      <w:proofErr w:type="spellEnd"/>
      <w:r w:rsidRPr="005A1CC5">
        <w:rPr>
          <w:rFonts w:cstheme="minorHAnsi"/>
          <w:sz w:val="24"/>
          <w:szCs w:val="24"/>
        </w:rPr>
        <w:t xml:space="preserve">. In: 17th International </w:t>
      </w:r>
      <w:proofErr w:type="spellStart"/>
      <w:r w:rsidRPr="005A1CC5">
        <w:rPr>
          <w:rFonts w:cstheme="minorHAnsi"/>
          <w:sz w:val="24"/>
          <w:szCs w:val="24"/>
        </w:rPr>
        <w:t>Conference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on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Concurrent</w:t>
      </w:r>
      <w:proofErr w:type="spellEnd"/>
      <w:r w:rsidRPr="005A1CC5">
        <w:rPr>
          <w:rFonts w:cstheme="minorHAnsi"/>
          <w:sz w:val="24"/>
          <w:szCs w:val="24"/>
        </w:rPr>
        <w:t xml:space="preserve"> </w:t>
      </w:r>
      <w:proofErr w:type="spellStart"/>
      <w:r w:rsidRPr="005A1CC5">
        <w:rPr>
          <w:rFonts w:cstheme="minorHAnsi"/>
          <w:sz w:val="24"/>
          <w:szCs w:val="24"/>
        </w:rPr>
        <w:t>Enterprising</w:t>
      </w:r>
      <w:proofErr w:type="spellEnd"/>
      <w:r w:rsidRPr="005A1CC5">
        <w:rPr>
          <w:rFonts w:cstheme="minorHAnsi"/>
          <w:sz w:val="24"/>
          <w:szCs w:val="24"/>
        </w:rPr>
        <w:t xml:space="preserve">, Aachen, </w:t>
      </w:r>
      <w:proofErr w:type="spellStart"/>
      <w:r w:rsidRPr="005A1CC5">
        <w:rPr>
          <w:rFonts w:cstheme="minorHAnsi"/>
          <w:sz w:val="24"/>
          <w:szCs w:val="24"/>
        </w:rPr>
        <w:t>Germany</w:t>
      </w:r>
      <w:proofErr w:type="spellEnd"/>
      <w:r w:rsidRPr="005A1CC5">
        <w:rPr>
          <w:rFonts w:cstheme="minorHAnsi"/>
          <w:sz w:val="24"/>
          <w:szCs w:val="24"/>
        </w:rPr>
        <w:t xml:space="preserve">, </w:t>
      </w:r>
      <w:proofErr w:type="spellStart"/>
      <w:r w:rsidRPr="005A1CC5">
        <w:rPr>
          <w:rFonts w:cstheme="minorHAnsi"/>
          <w:sz w:val="24"/>
          <w:szCs w:val="24"/>
        </w:rPr>
        <w:t>June</w:t>
      </w:r>
      <w:proofErr w:type="spellEnd"/>
      <w:r w:rsidRPr="005A1CC5">
        <w:rPr>
          <w:rFonts w:cstheme="minorHAnsi"/>
          <w:sz w:val="24"/>
          <w:szCs w:val="24"/>
        </w:rPr>
        <w:t xml:space="preserve"> 20-22, 2011.</w:t>
      </w:r>
    </w:p>
    <w:p w14:paraId="4C5B82B2" w14:textId="77777777" w:rsidR="003A56B4" w:rsidRPr="005A1CC5" w:rsidRDefault="003A56B4" w:rsidP="003A56B4">
      <w:pPr>
        <w:pStyle w:val="Listaszerbekezds"/>
        <w:numPr>
          <w:ilvl w:val="0"/>
          <w:numId w:val="9"/>
        </w:numPr>
        <w:spacing w:after="120" w:line="240" w:lineRule="auto"/>
        <w:rPr>
          <w:rFonts w:cstheme="minorHAnsi"/>
          <w:sz w:val="24"/>
          <w:szCs w:val="24"/>
        </w:rPr>
      </w:pPr>
      <w:r w:rsidRPr="005A1CC5">
        <w:rPr>
          <w:rFonts w:cstheme="minorHAnsi"/>
          <w:sz w:val="24"/>
          <w:szCs w:val="24"/>
        </w:rPr>
        <w:t xml:space="preserve">Zsolnai László (2004). A gazdasági etika </w:t>
      </w:r>
      <w:proofErr w:type="spellStart"/>
      <w:r w:rsidRPr="005A1CC5">
        <w:rPr>
          <w:rFonts w:cstheme="minorHAnsi"/>
          <w:sz w:val="24"/>
          <w:szCs w:val="24"/>
        </w:rPr>
        <w:t>paradoxona</w:t>
      </w:r>
      <w:proofErr w:type="spellEnd"/>
      <w:r w:rsidRPr="005A1CC5">
        <w:rPr>
          <w:rFonts w:cstheme="minorHAnsi"/>
          <w:sz w:val="24"/>
          <w:szCs w:val="24"/>
        </w:rPr>
        <w:t>. Vezetéstudomány 35. évf. 6. sz., pp. 45-49.</w:t>
      </w:r>
    </w:p>
    <w:p w14:paraId="6E2E0AF4" w14:textId="77777777" w:rsidR="003A56B4" w:rsidRPr="00F478AC" w:rsidRDefault="003A56B4" w:rsidP="00AA5DA4">
      <w:pPr>
        <w:spacing w:after="120" w:line="240" w:lineRule="auto"/>
        <w:jc w:val="both"/>
        <w:rPr>
          <w:rFonts w:cstheme="minorHAnsi"/>
        </w:rPr>
      </w:pPr>
    </w:p>
    <w:sectPr w:rsidR="003A56B4" w:rsidRPr="00F47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BD21" w14:textId="77777777" w:rsidR="00812CB3" w:rsidRDefault="00812CB3" w:rsidP="00AA5DA4">
      <w:pPr>
        <w:spacing w:after="0" w:line="240" w:lineRule="auto"/>
      </w:pPr>
      <w:r>
        <w:separator/>
      </w:r>
    </w:p>
  </w:endnote>
  <w:endnote w:type="continuationSeparator" w:id="0">
    <w:p w14:paraId="12E70137" w14:textId="77777777" w:rsidR="00812CB3" w:rsidRDefault="00812CB3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6AA2" w14:textId="77777777" w:rsidR="00812CB3" w:rsidRDefault="00812CB3" w:rsidP="00AA5DA4">
      <w:pPr>
        <w:spacing w:after="0" w:line="240" w:lineRule="auto"/>
      </w:pPr>
      <w:r>
        <w:separator/>
      </w:r>
    </w:p>
  </w:footnote>
  <w:footnote w:type="continuationSeparator" w:id="0">
    <w:p w14:paraId="23493D4D" w14:textId="77777777" w:rsidR="00812CB3" w:rsidRDefault="00812CB3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632434A8"/>
    <w:multiLevelType w:val="hybridMultilevel"/>
    <w:tmpl w:val="B3D0DD90"/>
    <w:lvl w:ilvl="0" w:tplc="29E6C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52C71"/>
    <w:multiLevelType w:val="hybridMultilevel"/>
    <w:tmpl w:val="F1086D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Cronus\Desktop\prob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Cronus\Desktop\prob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Megszólítás"/>
        <w:mappedName w:val="Udvarias megszólítás"/>
        <w:column w:val="0"/>
        <w:lid w:val="en-US"/>
      </w:fieldMapData>
      <w:fieldMapData>
        <w:type w:val="dbColumn"/>
        <w:name w:val="Utónév"/>
        <w:mappedName w:val="Utónév"/>
        <w:column w:val="1"/>
        <w:lid w:val="en-US"/>
      </w:fieldMapData>
      <w:fieldMapData>
        <w:lid w:val="en-US"/>
      </w:fieldMapData>
      <w:fieldMapData>
        <w:type w:val="dbColumn"/>
        <w:name w:val="Vezetéknév"/>
        <w:mappedName w:val="Vezetéknév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ég neve"/>
        <w:mappedName w:val="Cég"/>
        <w:column w:val="3"/>
        <w:lid w:val="en-US"/>
      </w:fieldMapData>
      <w:fieldMapData>
        <w:type w:val="dbColumn"/>
        <w:name w:val="A cím első sora"/>
        <w:mappedName w:val="Cím 1"/>
        <w:column w:val="4"/>
        <w:lid w:val="en-US"/>
      </w:fieldMapData>
      <w:fieldMapData>
        <w:type w:val="dbColumn"/>
        <w:name w:val="A cím második sora"/>
        <w:mappedName w:val="Cím 2"/>
        <w:column w:val="5"/>
        <w:lid w:val="en-US"/>
      </w:fieldMapData>
      <w:fieldMapData>
        <w:type w:val="dbColumn"/>
        <w:name w:val="Város"/>
        <w:mappedName w:val="Város"/>
        <w:column w:val="6"/>
        <w:lid w:val="en-US"/>
      </w:fieldMapData>
      <w:fieldMapData>
        <w:type w:val="dbColumn"/>
        <w:name w:val="Állam/megye"/>
        <w:mappedName w:val="Állam/megye"/>
        <w:column w:val="7"/>
        <w:lid w:val="en-US"/>
      </w:fieldMapData>
      <w:fieldMapData>
        <w:type w:val="dbColumn"/>
        <w:name w:val="Irányítószám"/>
        <w:mappedName w:val="Irányítószám"/>
        <w:column w:val="8"/>
        <w:lid w:val="en-US"/>
      </w:fieldMapData>
      <w:fieldMapData>
        <w:type w:val="dbColumn"/>
        <w:name w:val="Ország vagy régió"/>
        <w:mappedName w:val="Ország vagy régió"/>
        <w:column w:val="9"/>
        <w:lid w:val="en-US"/>
      </w:fieldMapData>
      <w:fieldMapData>
        <w:type w:val="dbColumn"/>
        <w:name w:val="Munkahelyi telefon"/>
        <w:mappedName w:val="Munkahelyi telefon"/>
        <w:column w:val="11"/>
        <w:lid w:val="en-US"/>
      </w:fieldMapData>
      <w:fieldMapData>
        <w:lid w:val="en-US"/>
      </w:fieldMapData>
      <w:fieldMapData>
        <w:type w:val="dbColumn"/>
        <w:name w:val="Otthoni telefon"/>
        <w:mappedName w:val="Otthoni telefon"/>
        <w:column w:val="10"/>
        <w:lid w:val="en-US"/>
      </w:fieldMapData>
      <w:fieldMapData>
        <w:lid w:val="en-US"/>
      </w:fieldMapData>
      <w:fieldMapData>
        <w:type w:val="dbColumn"/>
        <w:name w:val="E-mail cím"/>
        <w:mappedName w:val="E-mail cím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8612B"/>
    <w:rsid w:val="000A0FEF"/>
    <w:rsid w:val="000D05A3"/>
    <w:rsid w:val="000D4CB6"/>
    <w:rsid w:val="00112D18"/>
    <w:rsid w:val="00130B31"/>
    <w:rsid w:val="00176A04"/>
    <w:rsid w:val="001A6C6C"/>
    <w:rsid w:val="001C47EA"/>
    <w:rsid w:val="001D3FB2"/>
    <w:rsid w:val="001E71C6"/>
    <w:rsid w:val="001F2B98"/>
    <w:rsid w:val="001F2E0A"/>
    <w:rsid w:val="00225A14"/>
    <w:rsid w:val="00226837"/>
    <w:rsid w:val="00275175"/>
    <w:rsid w:val="002778FE"/>
    <w:rsid w:val="002A1661"/>
    <w:rsid w:val="002A3A13"/>
    <w:rsid w:val="002B34B8"/>
    <w:rsid w:val="002D2020"/>
    <w:rsid w:val="002D3080"/>
    <w:rsid w:val="002D3660"/>
    <w:rsid w:val="002E6B2A"/>
    <w:rsid w:val="003346B3"/>
    <w:rsid w:val="003A56B4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16F1"/>
    <w:rsid w:val="00574D5F"/>
    <w:rsid w:val="005A1CC5"/>
    <w:rsid w:val="005E70D5"/>
    <w:rsid w:val="005F1093"/>
    <w:rsid w:val="00627DB1"/>
    <w:rsid w:val="0063086B"/>
    <w:rsid w:val="00630C7C"/>
    <w:rsid w:val="00643711"/>
    <w:rsid w:val="00680372"/>
    <w:rsid w:val="006852BC"/>
    <w:rsid w:val="006A2CCB"/>
    <w:rsid w:val="006A3729"/>
    <w:rsid w:val="006C5E7C"/>
    <w:rsid w:val="006D02EB"/>
    <w:rsid w:val="006F2454"/>
    <w:rsid w:val="006F56E9"/>
    <w:rsid w:val="00756697"/>
    <w:rsid w:val="00757A27"/>
    <w:rsid w:val="00762FAA"/>
    <w:rsid w:val="007739C3"/>
    <w:rsid w:val="007765E5"/>
    <w:rsid w:val="007B6E7A"/>
    <w:rsid w:val="007D1B48"/>
    <w:rsid w:val="007D1CFE"/>
    <w:rsid w:val="00812CB3"/>
    <w:rsid w:val="008774EE"/>
    <w:rsid w:val="00877E02"/>
    <w:rsid w:val="008A3366"/>
    <w:rsid w:val="008C1273"/>
    <w:rsid w:val="00900E78"/>
    <w:rsid w:val="00957E0C"/>
    <w:rsid w:val="00961A9A"/>
    <w:rsid w:val="00984801"/>
    <w:rsid w:val="009E5B38"/>
    <w:rsid w:val="009F353B"/>
    <w:rsid w:val="00A06EC0"/>
    <w:rsid w:val="00A12CBC"/>
    <w:rsid w:val="00A177CC"/>
    <w:rsid w:val="00A20248"/>
    <w:rsid w:val="00A40E4C"/>
    <w:rsid w:val="00A779E0"/>
    <w:rsid w:val="00A847EB"/>
    <w:rsid w:val="00A97525"/>
    <w:rsid w:val="00AA5DA4"/>
    <w:rsid w:val="00AB0879"/>
    <w:rsid w:val="00AC0358"/>
    <w:rsid w:val="00AD452A"/>
    <w:rsid w:val="00AF25C2"/>
    <w:rsid w:val="00B000E8"/>
    <w:rsid w:val="00B07402"/>
    <w:rsid w:val="00B377AA"/>
    <w:rsid w:val="00B53637"/>
    <w:rsid w:val="00B7425B"/>
    <w:rsid w:val="00B77F73"/>
    <w:rsid w:val="00B809EB"/>
    <w:rsid w:val="00BB7DA9"/>
    <w:rsid w:val="00BD1CEC"/>
    <w:rsid w:val="00BD412B"/>
    <w:rsid w:val="00BF318A"/>
    <w:rsid w:val="00C02A48"/>
    <w:rsid w:val="00C34C1F"/>
    <w:rsid w:val="00C771E6"/>
    <w:rsid w:val="00C9788D"/>
    <w:rsid w:val="00CE553B"/>
    <w:rsid w:val="00CF2302"/>
    <w:rsid w:val="00D56376"/>
    <w:rsid w:val="00D566ED"/>
    <w:rsid w:val="00D8565D"/>
    <w:rsid w:val="00D976FB"/>
    <w:rsid w:val="00DD6CC4"/>
    <w:rsid w:val="00DF2683"/>
    <w:rsid w:val="00DF2891"/>
    <w:rsid w:val="00E0074D"/>
    <w:rsid w:val="00E17D22"/>
    <w:rsid w:val="00E66281"/>
    <w:rsid w:val="00E8020F"/>
    <w:rsid w:val="00E81357"/>
    <w:rsid w:val="00EA2597"/>
    <w:rsid w:val="00EB22BE"/>
    <w:rsid w:val="00EC63CE"/>
    <w:rsid w:val="00EF05A3"/>
    <w:rsid w:val="00EF7498"/>
    <w:rsid w:val="00F1505F"/>
    <w:rsid w:val="00F15A43"/>
    <w:rsid w:val="00F3482C"/>
    <w:rsid w:val="00F478AC"/>
    <w:rsid w:val="00F5617F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F23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F2302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C34C1F"/>
    <w:rPr>
      <w:color w:val="605E5C"/>
      <w:shd w:val="clear" w:color="auto" w:fill="E1DFDD"/>
    </w:rPr>
  </w:style>
  <w:style w:type="character" w:styleId="Helyrzszveg">
    <w:name w:val="Placeholder Text"/>
    <w:basedOn w:val="Bekezdsalapbettpusa"/>
    <w:uiPriority w:val="99"/>
    <w:semiHidden/>
    <w:rsid w:val="00680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xfam.org/en/press-releases/62-people-own-same-half-world-reveals-oxfam-davos-repor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insurge-intelligence/the-new-economic-science-of-capitalisms-slow-burn-energy-collapse-d07344fab6b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xfam.org/en/research/economy-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mmonslabantwerpen.org/publicaties/2018/7/25/commons-transition-policy-proposals-for-an-open-knowledge-society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ronus\Desktop\proba.mdb" TargetMode="External"/><Relationship Id="rId1" Type="http://schemas.openxmlformats.org/officeDocument/2006/relationships/mailMergeSource" Target="file:///C:\Users\Cronus\Desktop\proba.md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07B48BC-3982-411C-B3A2-31294BD245F0}"/>
      </w:docPartPr>
      <w:docPartBody>
        <w:p w:rsidR="00000000" w:rsidRDefault="00E54F60">
          <w:r w:rsidRPr="00185C75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60"/>
    <w:rsid w:val="00E5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E54F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25ED09-0A13-4B5B-8187-5200A1490D90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CFC1BF-3854-4D38-B079-3D04B4E4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4</cp:revision>
  <dcterms:created xsi:type="dcterms:W3CDTF">2020-03-10T22:51:00Z</dcterms:created>
  <dcterms:modified xsi:type="dcterms:W3CDTF">2022-01-04T08:36:00Z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