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24"/>
          <w:szCs w:val="24"/>
          <w:rFonts w:ascii="Arial" w:cs="Arial" w:eastAsia="Arial" w:hAnsi="Arial"/>
        </w:rPr>
        <w:t xml:space="preserve">Test contract</w:t>
      </w: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Effective Date: May 2024.</w:t>
      </w:r>
    </w:p>
    <w:p>
      <w:pPr>
        <w:pStyle w:val="Heading2"/>
      </w:pPr>
      <w:r>
        <w:rPr>
          <w:sz w:val="24"/>
          <w:szCs w:val="24"/>
          <w:rFonts w:ascii="Arial" w:cs="Arial" w:eastAsia="Arial" w:hAnsi="Arial"/>
        </w:rPr>
        <w:t xml:space="preserve">Article 5.</w:t>
      </w: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The agreement begins on the effective date.</w:t>
      </w: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DEPRECATED CLAUSE: this section is no longer in 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spacing w:after="240"/>
      </w:pP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Final paragraph.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b/>
      <w:bCs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2026-05-11T21:08:03.312Z</dcterms:created>
  <dcterms:modified xsi:type="dcterms:W3CDTF">2026-05-11T21:08:03.316Z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