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Field handbook</w:t>
      </w:r>
    </w:p>
    <w:p>
      <w:pPr>
        <w:pStyle w:val="Heading2"/>
        <w:bidi w:val="0"/>
        <w:jc w:val="left"/>
        <w:rPr/>
      </w:pPr>
      <w:r>
        <w:rPr/>
        <w:t>4. Cold-weather start</w:t>
      </w:r>
    </w:p>
    <w:p>
      <w:pPr>
        <w:pStyle w:val="BodyText"/>
        <w:bidi w:val="0"/>
        <w:jc w:val="left"/>
        <w:rPr/>
      </w:pPr>
      <w:r>
        <w:rPr/>
        <w:t>Below an ambient temperature of -12 °C the engine must not be cranked cold.</w:t>
      </w:r>
    </w:p>
    <w:p>
      <w:pPr>
        <w:pStyle w:val="BodyText"/>
        <w:bidi w:val="0"/>
        <w:jc w:val="left"/>
        <w:rPr/>
      </w:pPr>
      <w:r>
        <w:rPr/>
        <w:t>Run the pre-heat timer for 6 minutes before the first crank, and for 9 minutes when the unit has stood for more than a week.</w:t>
      </w:r>
    </w:p>
    <w:p>
      <w:pPr>
        <w:pStyle w:val="BodyText"/>
        <w:bidi w:val="0"/>
        <w:jc w:val="left"/>
        <w:rPr/>
      </w:pPr>
      <w:r>
        <w:rPr/>
        <w:t>If the glow indicator stays lit after the timer ends, abort the start and log a fault against the pre-heat relay.</w:t>
      </w:r>
    </w:p>
    <w:p>
      <w:pPr>
        <w:pStyle w:val="Heading2"/>
        <w:bidi w:val="0"/>
        <w:jc w:val="left"/>
        <w:rPr/>
      </w:pPr>
      <w:r>
        <w:rPr/>
        <w:t>5. Fuel</w:t>
      </w:r>
    </w:p>
    <w:p>
      <w:pPr>
        <w:pStyle w:val="BodyText"/>
        <w:bidi w:val="0"/>
        <w:spacing w:before="0" w:after="283"/>
        <w:jc w:val="left"/>
        <w:rPr/>
      </w:pPr>
      <w:r>
        <w:rPr/>
        <w:t>Winter-grade fuel is required from November to March.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>Field handbook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