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</w:t>
            </w:r>
            <w:proofErr w:type="spellStart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returnCode</w:t>
            </w:r>
            <w:proofErr w:type="spellEnd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304F87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53E68" w:rsidRPr="00C4267B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proofErr w:type="spellStart"/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measPrice</w:t>
            </w:r>
            <w:proofErr w:type="spellEnd"/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4267B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F0515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F05151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F05151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F05151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F05151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05151">
              <w:fldChar w:fldCharType="begin"/>
            </w:r>
            <w:r w:rsidR="00116B20">
              <w:instrText>HYPERLINK \l "_Certificate"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F05151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F05151">
              <w:fldChar w:fldCharType="begin"/>
            </w:r>
            <w:r w:rsidR="00116B20">
              <w:instrText>HYPERLINK \l "_WorkType"</w:instrText>
            </w:r>
            <w:r w:rsidR="00F05151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F05151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F05151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F05151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F05151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  <w:proofErr w:type="spellEnd"/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  <w:proofErr w:type="spellEnd"/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  <w:proofErr w:type="spellEnd"/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proofErr w:type="spellEnd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proofErr w:type="spellEnd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lastRenderedPageBreak/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proofErr w:type="spellStart"/>
      <w:r>
        <w:t>S</w:t>
      </w:r>
      <w:r>
        <w:rPr>
          <w:rFonts w:hint="eastAsia"/>
        </w:rPr>
        <w:t>ervPrice</w:t>
      </w:r>
      <w:proofErr w:type="spellEnd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  <w:rPr>
          <w:rFonts w:hint="eastAsia"/>
        </w:rPr>
      </w:pPr>
      <w:proofErr w:type="spellStart"/>
      <w:r>
        <w:rPr>
          <w:rFonts w:hint="eastAsia"/>
        </w:rPr>
        <w:t>measPrice</w:t>
      </w:r>
      <w:proofErr w:type="spellEnd"/>
    </w:p>
    <w:p w:rsidR="00D41511" w:rsidRDefault="00253E68" w:rsidP="00D41511">
      <w:pPr>
        <w:rPr>
          <w:rFonts w:hint="eastAsia"/>
        </w:rPr>
      </w:pPr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9322D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 w:rsidRPr="00D41511"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 w:rsidRPr="00D41511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40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 w:rsidRPr="00D41511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</w:p>
        </w:tc>
      </w:tr>
      <w:tr w:rsidR="00D41511" w:rsidRPr="00C4267B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1240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9322D1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9322D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40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9322D1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932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9322D1">
            <w:pPr>
              <w:jc w:val="center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9322D1">
            <w:pPr>
              <w:jc w:val="center"/>
              <w:rPr>
                <w:rFonts w:hint="eastAsia"/>
              </w:rPr>
            </w:pPr>
          </w:p>
        </w:tc>
      </w:tr>
    </w:tbl>
    <w:p w:rsidR="00D41511" w:rsidRPr="00D41511" w:rsidRDefault="00D41511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lastRenderedPageBreak/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F05151">
        <w:fldChar w:fldCharType="begin"/>
      </w:r>
      <w:r w:rsidR="00116B20">
        <w:instrText>HYPERLINK \l "_</w:instrText>
      </w:r>
      <w:r w:rsidR="00116B20">
        <w:instrText>标签价格</w:instrText>
      </w:r>
      <w:r w:rsidR="00116B20">
        <w:instrText>"</w:instrText>
      </w:r>
      <w:r w:rsidR="00F05151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F05151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F05151">
        <w:fldChar w:fldCharType="begin"/>
      </w:r>
      <w:r w:rsidR="00116B20">
        <w:instrText>HYPERLINK \l "_</w:instrText>
      </w:r>
      <w:r w:rsidR="00116B20">
        <w:instrText>工作内容计算字段</w:instrText>
      </w:r>
      <w:r w:rsidR="00116B20">
        <w:instrText>"</w:instrText>
      </w:r>
      <w:r w:rsidR="00F05151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F05151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lastRenderedPageBreak/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F371A3" w:rsidRPr="00A26480" w:rsidRDefault="00F371A3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1B6" w:rsidRDefault="008B11B6" w:rsidP="00137B81">
      <w:r>
        <w:separator/>
      </w:r>
    </w:p>
    <w:p w:rsidR="008B11B6" w:rsidRDefault="008B11B6"/>
  </w:endnote>
  <w:endnote w:type="continuationSeparator" w:id="0">
    <w:p w:rsidR="008B11B6" w:rsidRDefault="008B11B6" w:rsidP="00137B81">
      <w:r>
        <w:continuationSeparator/>
      </w:r>
    </w:p>
    <w:p w:rsidR="008B11B6" w:rsidRDefault="008B11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Default="00F371A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71A3" w:rsidRDefault="00F371A3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Default="00F371A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53E68">
      <w:rPr>
        <w:rStyle w:val="a9"/>
        <w:noProof/>
      </w:rPr>
      <w:t>III</w:t>
    </w:r>
    <w:r>
      <w:rPr>
        <w:rStyle w:val="a9"/>
      </w:rPr>
      <w:fldChar w:fldCharType="end"/>
    </w:r>
  </w:p>
  <w:p w:rsidR="00F371A3" w:rsidRDefault="00F371A3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F371A3" w:rsidRPr="005B5F75" w:rsidRDefault="00F371A3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F371A3" w:rsidRPr="005B5F75" w:rsidRDefault="00F371A3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F371A3" w:rsidRPr="005B5F75" w:rsidRDefault="00F371A3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F371A3" w:rsidRPr="00B23CF3" w:rsidRDefault="00F371A3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253E68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Default="00F371A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71A3" w:rsidRDefault="00F371A3">
    <w:pPr>
      <w:pStyle w:val="a8"/>
      <w:ind w:right="360"/>
    </w:pPr>
  </w:p>
  <w:p w:rsidR="00F371A3" w:rsidRDefault="00F371A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Default="00F371A3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F371A3" w:rsidRPr="00B23CF3" w:rsidRDefault="00F371A3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253E68">
                  <w:rPr>
                    <w:rStyle w:val="a9"/>
                    <w:noProof/>
                    <w:sz w:val="18"/>
                    <w:szCs w:val="18"/>
                  </w:rPr>
                  <w:t>2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F371A3" w:rsidRPr="004B61AF" w:rsidRDefault="00F371A3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F371A3" w:rsidRPr="004B61AF" w:rsidRDefault="00F371A3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F371A3" w:rsidRPr="004B61AF" w:rsidRDefault="00F371A3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1B6" w:rsidRDefault="008B11B6" w:rsidP="00137B81">
      <w:r>
        <w:separator/>
      </w:r>
    </w:p>
    <w:p w:rsidR="008B11B6" w:rsidRDefault="008B11B6"/>
  </w:footnote>
  <w:footnote w:type="continuationSeparator" w:id="0">
    <w:p w:rsidR="008B11B6" w:rsidRDefault="008B11B6" w:rsidP="00137B81">
      <w:r>
        <w:continuationSeparator/>
      </w:r>
    </w:p>
    <w:p w:rsidR="008B11B6" w:rsidRDefault="008B11B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Pr="009F5C59" w:rsidRDefault="00F371A3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1A3" w:rsidRPr="00D86292" w:rsidRDefault="00F371A3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27C5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4A24D3-2FCE-415E-B66E-C43FAE7B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2065</TotalTime>
  <Pages>22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14177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611</cp:revision>
  <cp:lastPrinted>2012-11-09T06:04:00Z</cp:lastPrinted>
  <dcterms:created xsi:type="dcterms:W3CDTF">2013-12-06T02:49:00Z</dcterms:created>
  <dcterms:modified xsi:type="dcterms:W3CDTF">2016-12-15T07:42:00Z</dcterms:modified>
  <cp:category>RD</cp:category>
</cp:coreProperties>
</file>