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4"/>
        </w:rPr>
        <w:t>PROJECT ARJUNA: INTERCEPTOR AI MODULE</w:t>
      </w:r>
    </w:p>
    <w:p>
      <w:pPr>
        <w:jc w:val="center"/>
      </w:pPr>
      <w:r>
        <w:rPr>
          <w:rFonts w:ascii="Arial" w:hAnsi="Arial"/>
          <w:i/>
          <w:color w:val="46505F"/>
          <w:sz w:val="22"/>
        </w:rPr>
        <w:t>Autonomous Target Acquisition, Hybrid Tracking, and FPV Interception System</w:t>
        <w:br/>
        <w:t>Comprehensive Project Evolution, AI Model Enhancements, and Edge/Radxa Hardware Deployment Report</w:t>
      </w:r>
    </w:p>
    <w:p>
      <w:pPr>
        <w:jc w:val="center"/>
      </w:pPr>
      <w:r>
        <w:t>――――――――――――――――――――――――――――――――――――――――――――――――――――――――――</w:t>
      </w:r>
    </w:p>
    <w:tbl>
      <w:tblPr>
        <w:tblW w:type="auto" w:w="0"/>
        <w:jc w:val="center"/>
        <w:tblLook w:firstColumn="1" w:firstRow="1" w:lastColumn="0" w:lastRow="0" w:noHBand="0" w:noVBand="1" w:val="04A0"/>
      </w:tblPr>
      <w:tblGrid>
        <w:gridCol w:w="4968"/>
        <w:gridCol w:w="4968"/>
      </w:tblGrid>
      <w:tr>
        <w:tc>
          <w:tcPr>
            <w:tcW w:type="dxa" w:w="4968"/>
            <w:shd w:fill="F0F4F8"/>
            <w:tcMar>
              <w:top w:w="80" w:type="dxa"/>
              <w:bottom w:w="80" w:type="dxa"/>
              <w:left w:w="120" w:type="dxa"/>
              <w:right w:w="120" w:type="dxa"/>
            </w:tcMar>
          </w:tcPr>
          <w:p>
            <w:pPr>
              <w:spacing w:after="40"/>
            </w:pPr>
            <w:r>
              <w:rPr>
                <w:b/>
                <w:color w:val="0F2A4A"/>
                <w:sz w:val="19"/>
              </w:rPr>
              <w:t>System Name:</w:t>
            </w:r>
            <w:r>
              <w:rPr>
                <w:color w:val="28323C"/>
                <w:sz w:val="19"/>
              </w:rPr>
              <w:t xml:space="preserve"> Arjuna GCS / Interceptor AI Module</w:t>
            </w:r>
          </w:p>
        </w:tc>
        <w:tc>
          <w:tcPr>
            <w:tcW w:type="dxa" w:w="4968"/>
            <w:shd w:fill="F0F4F8"/>
            <w:tcMar>
              <w:top w:w="80" w:type="dxa"/>
              <w:bottom w:w="80" w:type="dxa"/>
              <w:left w:w="120" w:type="dxa"/>
              <w:right w:w="120" w:type="dxa"/>
            </w:tcMar>
          </w:tcPr>
          <w:p>
            <w:pPr>
              <w:spacing w:after="40"/>
            </w:pPr>
            <w:r>
              <w:rPr>
                <w:b/>
                <w:color w:val="0F2A4A"/>
                <w:sz w:val="19"/>
              </w:rPr>
              <w:t>Platform Scope:</w:t>
            </w:r>
            <w:r>
              <w:rPr>
                <w:color w:val="28323C"/>
                <w:sz w:val="19"/>
              </w:rPr>
              <w:t xml:space="preserve"> Ground Station &amp; Edge SBC (Radxa/INAV/ArduPilot)</w:t>
            </w:r>
          </w:p>
        </w:tc>
      </w:tr>
      <w:tr>
        <w:tc>
          <w:tcPr>
            <w:tcW w:type="dxa" w:w="4968"/>
            <w:shd w:fill="F0F4F8"/>
            <w:tcMar>
              <w:top w:w="80" w:type="dxa"/>
              <w:bottom w:w="80" w:type="dxa"/>
              <w:left w:w="120" w:type="dxa"/>
              <w:right w:w="120" w:type="dxa"/>
            </w:tcMar>
          </w:tcPr>
          <w:p>
            <w:pPr>
              <w:spacing w:after="40"/>
            </w:pPr>
            <w:r>
              <w:rPr>
                <w:b/>
                <w:color w:val="0F2A4A"/>
                <w:sz w:val="19"/>
              </w:rPr>
              <w:t>Architecture:</w:t>
            </w:r>
            <w:r>
              <w:rPr>
                <w:color w:val="28323C"/>
                <w:sz w:val="19"/>
              </w:rPr>
              <w:t xml:space="preserve"> Hybrid YOLO + CSRT/KCF + Visual Servoing</w:t>
            </w:r>
          </w:p>
        </w:tc>
        <w:tc>
          <w:tcPr>
            <w:tcW w:type="dxa" w:w="4968"/>
            <w:shd w:fill="F0F4F8"/>
            <w:tcMar>
              <w:top w:w="80" w:type="dxa"/>
              <w:bottom w:w="80" w:type="dxa"/>
              <w:left w:w="120" w:type="dxa"/>
              <w:right w:w="120" w:type="dxa"/>
            </w:tcMar>
          </w:tcPr>
          <w:p>
            <w:pPr>
              <w:spacing w:after="40"/>
            </w:pPr>
            <w:r>
              <w:rPr>
                <w:b/>
                <w:color w:val="0F2A4A"/>
                <w:sz w:val="19"/>
              </w:rPr>
              <w:t>Documentation Type:</w:t>
            </w:r>
            <w:r>
              <w:rPr>
                <w:color w:val="28323C"/>
                <w:sz w:val="19"/>
              </w:rPr>
              <w:t xml:space="preserve"> Full Technical Progression &amp; Solution Report</w:t>
            </w:r>
          </w:p>
        </w:tc>
      </w:tr>
    </w:tbl>
    <w:p>
      <w:pPr>
        <w:spacing w:after="200"/>
      </w:pPr>
    </w:p>
    <w:p>
      <w:pPr>
        <w:keepNext/>
        <w:spacing w:before="280" w:after="120"/>
      </w:pPr>
      <w:r>
        <w:rPr>
          <w:rFonts w:ascii="Arial" w:hAnsi="Arial"/>
          <w:b/>
          <w:color w:val="0F2A4A"/>
          <w:sz w:val="28"/>
        </w:rPr>
        <w:t>1. Executive Summary &amp; Mission Objective</w:t>
      </w:r>
    </w:p>
    <w:p>
      <w:pPr>
        <w:spacing w:after="80" w:line="276" w:lineRule="auto"/>
      </w:pPr>
      <w:r>
        <w:rPr>
          <w:rFonts w:ascii="Arial" w:hAnsi="Arial"/>
          <w:color w:val="282828"/>
          <w:sz w:val="20"/>
        </w:rPr>
        <w:t>The Interceptor AI Module (Arjuna Platform) is a precision autonomous targeting, visual servoing, and flight guidance software suite developed for Counter-Unmanned Aerial Systems (C-UAS) and high-speed FPV interceptor drones. The system pairs real-time deep neural network object detection with classical computer vision tracking and closed-loop flight controller telemetry to achieve autonomous target lock, continuous optical tracking, trajectory prediction, and dynamic yaw/pitch/roll visual servoing.</w:t>
      </w:r>
    </w:p>
    <w:p>
      <w:pPr>
        <w:spacing w:after="80" w:line="276" w:lineRule="auto"/>
      </w:pPr>
      <w:r>
        <w:rPr>
          <w:rFonts w:ascii="Arial" w:hAnsi="Arial"/>
          <w:color w:val="282828"/>
          <w:sz w:val="20"/>
        </w:rPr>
        <w:t>A primary architectural mandate throughout the development lifecycle has been dual-tier deployment capability: running seamlessly on high-performance ground control workstations with dedicated NVIDIA GPUs while maintaining extreme efficiency, stability, and low latency on embedded edge single-board computers (specifically the Radxa SBC family and companion microcomputers).</w:t>
      </w:r>
    </w:p>
    <w:p>
      <w:pPr>
        <w:keepNext/>
        <w:spacing w:before="280" w:after="120"/>
      </w:pPr>
      <w:r>
        <w:rPr>
          <w:rFonts w:ascii="Arial" w:hAnsi="Arial"/>
          <w:b/>
          <w:color w:val="0F2A4A"/>
          <w:sz w:val="28"/>
        </w:rPr>
        <w:t>2. Chronological Project Evolution &amp; Development History</w:t>
      </w:r>
    </w:p>
    <w:p>
      <w:pPr>
        <w:spacing w:after="80" w:line="276" w:lineRule="auto"/>
      </w:pPr>
      <w:r>
        <w:rPr>
          <w:rFonts w:ascii="Arial" w:hAnsi="Arial"/>
          <w:color w:val="282828"/>
          <w:sz w:val="20"/>
        </w:rPr>
        <w:t>The repository has evolved from an experimental monocular tracking script into an enterprise-grade Ground Control Station and embedded guidance stack. The key progression phases include:</w:t>
      </w:r>
    </w:p>
    <w:tbl>
      <w:tblPr>
        <w:tblW w:type="auto" w:w="0"/>
        <w:jc w:val="center"/>
        <w:tblLook w:firstColumn="1" w:firstRow="1" w:lastColumn="0" w:lastRow="0" w:noHBand="0" w:noVBand="1" w:val="04A0"/>
      </w:tblPr>
      <w:tblGrid>
        <w:gridCol w:w="3312"/>
        <w:gridCol w:w="3312"/>
        <w:gridCol w:w="3312"/>
      </w:tblGrid>
      <w:tr>
        <w:tc>
          <w:tcPr>
            <w:tcW w:type="dxa" w:w="3312"/>
            <w:shd w:fill="1F4E79"/>
            <w:tcMar>
              <w:top w:w="100" w:type="dxa"/>
              <w:bottom w:w="100" w:type="dxa"/>
              <w:left w:w="100" w:type="dxa"/>
              <w:right w:w="100" w:type="dxa"/>
            </w:tcMar>
          </w:tcPr>
          <w:p>
            <w:pPr>
              <w:jc w:val="center"/>
            </w:pPr>
            <w:r>
              <w:rPr>
                <w:rFonts w:ascii="Arial" w:hAnsi="Arial"/>
                <w:b/>
                <w:color w:val="FFFFFF"/>
                <w:sz w:val="18"/>
              </w:rPr>
              <w:t>Milestone / Commit</w:t>
            </w:r>
          </w:p>
        </w:tc>
        <w:tc>
          <w:tcPr>
            <w:tcW w:type="dxa" w:w="3312"/>
            <w:shd w:fill="1F4E79"/>
            <w:tcMar>
              <w:top w:w="100" w:type="dxa"/>
              <w:bottom w:w="100" w:type="dxa"/>
              <w:left w:w="100" w:type="dxa"/>
              <w:right w:w="100" w:type="dxa"/>
            </w:tcMar>
          </w:tcPr>
          <w:p>
            <w:pPr>
              <w:jc w:val="center"/>
            </w:pPr>
            <w:r>
              <w:rPr>
                <w:rFonts w:ascii="Arial" w:hAnsi="Arial"/>
                <w:b/>
                <w:color w:val="FFFFFF"/>
                <w:sz w:val="18"/>
              </w:rPr>
              <w:t>Key Architectural Changes</w:t>
            </w:r>
          </w:p>
        </w:tc>
        <w:tc>
          <w:tcPr>
            <w:tcW w:type="dxa" w:w="3312"/>
            <w:shd w:fill="1F4E79"/>
            <w:tcMar>
              <w:top w:w="100" w:type="dxa"/>
              <w:bottom w:w="100" w:type="dxa"/>
              <w:left w:w="100" w:type="dxa"/>
              <w:right w:w="100" w:type="dxa"/>
            </w:tcMar>
          </w:tcPr>
          <w:p>
            <w:pPr>
              <w:jc w:val="center"/>
            </w:pPr>
            <w:r>
              <w:rPr>
                <w:rFonts w:ascii="Arial" w:hAnsi="Arial"/>
                <w:b/>
                <w:color w:val="FFFFFF"/>
                <w:sz w:val="18"/>
              </w:rPr>
              <w:t>Operational Impact</w:t>
            </w:r>
          </w:p>
        </w:tc>
      </w:tr>
      <w:tr>
        <w:tc>
          <w:tcPr>
            <w:tcW w:type="dxa" w:w="3312"/>
            <w:shd w:fill="F7FAFC"/>
            <w:tcMar>
              <w:top w:w="80" w:type="dxa"/>
              <w:bottom w:w="80" w:type="dxa"/>
              <w:left w:w="100" w:type="dxa"/>
              <w:right w:w="100" w:type="dxa"/>
            </w:tcMar>
          </w:tcPr>
          <w:p>
            <w:r>
              <w:rPr>
                <w:rFonts w:ascii="Arial" w:hAnsi="Arial"/>
                <w:color w:val="1E1E1E"/>
                <w:sz w:val="17"/>
              </w:rPr>
              <w:t>Phase 1: Inception</w:t>
              <w:br/>
              <w:t>(e4abbd9, 884fd1d)</w:t>
            </w:r>
          </w:p>
        </w:tc>
        <w:tc>
          <w:tcPr>
            <w:tcW w:type="dxa" w:w="3312"/>
            <w:shd w:fill="F7FAFC"/>
            <w:tcMar>
              <w:top w:w="80" w:type="dxa"/>
              <w:bottom w:w="80" w:type="dxa"/>
              <w:left w:w="100" w:type="dxa"/>
              <w:right w:w="100" w:type="dxa"/>
            </w:tcMar>
          </w:tcPr>
          <w:p>
            <w:r>
              <w:rPr>
                <w:rFonts w:ascii="Arial" w:hAnsi="Arial"/>
                <w:color w:val="1E1E1E"/>
                <w:sz w:val="17"/>
              </w:rPr>
              <w:t>Initial monolithic main.py, YOLOv8n detector, CSRT/KCF OpenCV tracking, baseline MSP SET_RAW_RC @ 50Hz, basic training script for drone/missile datasets.</w:t>
            </w:r>
          </w:p>
        </w:tc>
        <w:tc>
          <w:tcPr>
            <w:tcW w:type="dxa" w:w="3312"/>
            <w:shd w:fill="F7FAFC"/>
            <w:tcMar>
              <w:top w:w="80" w:type="dxa"/>
              <w:bottom w:w="80" w:type="dxa"/>
              <w:left w:w="100" w:type="dxa"/>
              <w:right w:w="100" w:type="dxa"/>
            </w:tcMar>
          </w:tcPr>
          <w:p>
            <w:r>
              <w:rPr>
                <w:rFonts w:ascii="Arial" w:hAnsi="Arial"/>
                <w:color w:val="1E1E1E"/>
                <w:sz w:val="17"/>
              </w:rPr>
              <w:t>Established core proof-of-concept for visual servoing on INAV flight controllers over USB-serial.</w:t>
            </w:r>
          </w:p>
        </w:tc>
      </w:tr>
      <w:tr>
        <w:tc>
          <w:tcPr>
            <w:tcW w:type="dxa" w:w="3312"/>
            <w:shd w:fill="FFFFFF"/>
            <w:tcMar>
              <w:top w:w="80" w:type="dxa"/>
              <w:bottom w:w="80" w:type="dxa"/>
              <w:left w:w="100" w:type="dxa"/>
              <w:right w:w="100" w:type="dxa"/>
            </w:tcMar>
          </w:tcPr>
          <w:p>
            <w:r>
              <w:rPr>
                <w:rFonts w:ascii="Arial" w:hAnsi="Arial"/>
                <w:color w:val="1E1E1E"/>
                <w:sz w:val="17"/>
              </w:rPr>
              <w:t>Phase 2: Modular Core</w:t>
              <w:br/>
              <w:t>(aaf7ae5)</w:t>
            </w:r>
          </w:p>
        </w:tc>
        <w:tc>
          <w:tcPr>
            <w:tcW w:type="dxa" w:w="3312"/>
            <w:shd w:fill="FFFFFF"/>
            <w:tcMar>
              <w:top w:w="80" w:type="dxa"/>
              <w:bottom w:w="80" w:type="dxa"/>
              <w:left w:w="100" w:type="dxa"/>
              <w:right w:w="100" w:type="dxa"/>
            </w:tcMar>
          </w:tcPr>
          <w:p>
            <w:r>
              <w:rPr>
                <w:rFonts w:ascii="Arial" w:hAnsi="Arial"/>
                <w:color w:val="1E1E1E"/>
                <w:sz w:val="17"/>
              </w:rPr>
              <w:t>Complete refactoring into decoupled modules: interfaces, plugin managers, Kalman filters, motion predictors, distance estimators, failsafe managers, and multi-threaded tracking worker.</w:t>
            </w:r>
          </w:p>
        </w:tc>
        <w:tc>
          <w:tcPr>
            <w:tcW w:type="dxa" w:w="3312"/>
            <w:shd w:fill="FFFFFF"/>
            <w:tcMar>
              <w:top w:w="80" w:type="dxa"/>
              <w:bottom w:w="80" w:type="dxa"/>
              <w:left w:w="100" w:type="dxa"/>
              <w:right w:w="100" w:type="dxa"/>
            </w:tcMar>
          </w:tcPr>
          <w:p>
            <w:r>
              <w:rPr>
                <w:rFonts w:ascii="Arial" w:hAnsi="Arial"/>
                <w:color w:val="1E1E1E"/>
                <w:sz w:val="17"/>
              </w:rPr>
              <w:t>Eliminated monolithic bottlenecks; enabled dynamic plugin swapping and mathematically rigorous 4-axis flight control.</w:t>
            </w:r>
          </w:p>
        </w:tc>
      </w:tr>
      <w:tr>
        <w:tc>
          <w:tcPr>
            <w:tcW w:type="dxa" w:w="3312"/>
            <w:shd w:fill="F7FAFC"/>
            <w:tcMar>
              <w:top w:w="80" w:type="dxa"/>
              <w:bottom w:w="80" w:type="dxa"/>
              <w:left w:w="100" w:type="dxa"/>
              <w:right w:w="100" w:type="dxa"/>
            </w:tcMar>
          </w:tcPr>
          <w:p>
            <w:r>
              <w:rPr>
                <w:rFonts w:ascii="Arial" w:hAnsi="Arial"/>
                <w:color w:val="1E1E1E"/>
                <w:sz w:val="17"/>
              </w:rPr>
              <w:t>Phase 3: Arjuna GCS</w:t>
              <w:br/>
              <w:t>(c6b02a0)</w:t>
            </w:r>
          </w:p>
        </w:tc>
        <w:tc>
          <w:tcPr>
            <w:tcW w:type="dxa" w:w="3312"/>
            <w:shd w:fill="F7FAFC"/>
            <w:tcMar>
              <w:top w:w="80" w:type="dxa"/>
              <w:bottom w:w="80" w:type="dxa"/>
              <w:left w:w="100" w:type="dxa"/>
              <w:right w:w="100" w:type="dxa"/>
            </w:tcMar>
          </w:tcPr>
          <w:p>
            <w:r>
              <w:rPr>
                <w:rFonts w:ascii="Arial" w:hAnsi="Arial"/>
                <w:color w:val="1E1E1E"/>
                <w:sz w:val="17"/>
              </w:rPr>
              <w:t>Creation of the full PyQt6 Arjuna Ground Control Station: multi-page shell, SQLite target store, telemetry graphs, live feed HUD, PID tuning panel, and structured system logger.</w:t>
            </w:r>
          </w:p>
        </w:tc>
        <w:tc>
          <w:tcPr>
            <w:tcW w:type="dxa" w:w="3312"/>
            <w:shd w:fill="F7FAFC"/>
            <w:tcMar>
              <w:top w:w="80" w:type="dxa"/>
              <w:bottom w:w="80" w:type="dxa"/>
              <w:left w:w="100" w:type="dxa"/>
              <w:right w:w="100" w:type="dxa"/>
            </w:tcMar>
          </w:tcPr>
          <w:p>
            <w:r>
              <w:rPr>
                <w:rFonts w:ascii="Arial" w:hAnsi="Arial"/>
                <w:color w:val="1E1E1E"/>
                <w:sz w:val="17"/>
              </w:rPr>
              <w:t>Delivered professional operator interface with persistent target profiling, real-time telemetry diagnostics, and intuitive tuning.</w:t>
            </w:r>
          </w:p>
        </w:tc>
      </w:tr>
      <w:tr>
        <w:tc>
          <w:tcPr>
            <w:tcW w:type="dxa" w:w="3312"/>
            <w:shd w:fill="FFFFFF"/>
            <w:tcMar>
              <w:top w:w="80" w:type="dxa"/>
              <w:bottom w:w="80" w:type="dxa"/>
              <w:left w:w="100" w:type="dxa"/>
              <w:right w:w="100" w:type="dxa"/>
            </w:tcMar>
          </w:tcPr>
          <w:p>
            <w:r>
              <w:rPr>
                <w:rFonts w:ascii="Arial" w:hAnsi="Arial"/>
                <w:color w:val="1E1E1E"/>
                <w:sz w:val="17"/>
              </w:rPr>
              <w:t>Phase 4: Standalone Build</w:t>
              <w:br/>
              <w:t>(a2518fd)</w:t>
            </w:r>
          </w:p>
        </w:tc>
        <w:tc>
          <w:tcPr>
            <w:tcW w:type="dxa" w:w="3312"/>
            <w:shd w:fill="FFFFFF"/>
            <w:tcMar>
              <w:top w:w="80" w:type="dxa"/>
              <w:bottom w:w="80" w:type="dxa"/>
              <w:left w:w="100" w:type="dxa"/>
              <w:right w:w="100" w:type="dxa"/>
            </w:tcMar>
          </w:tcPr>
          <w:p>
            <w:r>
              <w:rPr>
                <w:rFonts w:ascii="Arial" w:hAnsi="Arial"/>
                <w:color w:val="1E1E1E"/>
                <w:sz w:val="17"/>
              </w:rPr>
              <w:t>Introduced centralized paths.py for AppData data persistence vs bundled assets; built PyInstaller compilation pipeline (build_exe.py / build_exe.bat); added MAVLink controller plugin.</w:t>
            </w:r>
          </w:p>
        </w:tc>
        <w:tc>
          <w:tcPr>
            <w:tcW w:type="dxa" w:w="3312"/>
            <w:shd w:fill="FFFFFF"/>
            <w:tcMar>
              <w:top w:w="80" w:type="dxa"/>
              <w:bottom w:w="80" w:type="dxa"/>
              <w:left w:w="100" w:type="dxa"/>
              <w:right w:w="100" w:type="dxa"/>
            </w:tcMar>
          </w:tcPr>
          <w:p>
            <w:r>
              <w:rPr>
                <w:rFonts w:ascii="Arial" w:hAnsi="Arial"/>
                <w:color w:val="1E1E1E"/>
                <w:sz w:val="17"/>
              </w:rPr>
              <w:t>Enabled single-click executable distribution without requiring manual Python environment setup on target machines.</w:t>
            </w:r>
          </w:p>
        </w:tc>
      </w:tr>
      <w:tr>
        <w:tc>
          <w:tcPr>
            <w:tcW w:type="dxa" w:w="3312"/>
            <w:shd w:fill="F7FAFC"/>
            <w:tcMar>
              <w:top w:w="80" w:type="dxa"/>
              <w:bottom w:w="80" w:type="dxa"/>
              <w:left w:w="100" w:type="dxa"/>
              <w:right w:w="100" w:type="dxa"/>
            </w:tcMar>
          </w:tcPr>
          <w:p>
            <w:r>
              <w:rPr>
                <w:rFonts w:ascii="Arial" w:hAnsi="Arial"/>
                <w:color w:val="1E1E1E"/>
                <w:sz w:val="17"/>
              </w:rPr>
              <w:t>Phase 5: Control &amp; Mode Refinements</w:t>
              <w:br/>
              <w:t>(54deafc, 92f6400+)</w:t>
            </w:r>
          </w:p>
        </w:tc>
        <w:tc>
          <w:tcPr>
            <w:tcW w:type="dxa" w:w="3312"/>
            <w:shd w:fill="F7FAFC"/>
            <w:tcMar>
              <w:top w:w="80" w:type="dxa"/>
              <w:bottom w:w="80" w:type="dxa"/>
              <w:left w:w="100" w:type="dxa"/>
              <w:right w:w="100" w:type="dxa"/>
            </w:tcMar>
          </w:tcPr>
          <w:p>
            <w:r>
              <w:rPr>
                <w:rFonts w:ascii="Arial" w:hAnsi="Arial"/>
                <w:color w:val="1E1E1E"/>
                <w:sz w:val="17"/>
              </w:rPr>
              <w:t>Enhanced real-time keyboard control, AUX channel mapping (Arm CH5, Mode CH6), throttle stepped overrides, scale-aware tracking, and attitude-compensated camera geometry.</w:t>
            </w:r>
          </w:p>
        </w:tc>
        <w:tc>
          <w:tcPr>
            <w:tcW w:type="dxa" w:w="3312"/>
            <w:shd w:fill="F7FAFC"/>
            <w:tcMar>
              <w:top w:w="80" w:type="dxa"/>
              <w:bottom w:w="80" w:type="dxa"/>
              <w:left w:w="100" w:type="dxa"/>
              <w:right w:w="100" w:type="dxa"/>
            </w:tcMar>
          </w:tcPr>
          <w:p>
            <w:r>
              <w:rPr>
                <w:rFonts w:ascii="Arial" w:hAnsi="Arial"/>
                <w:color w:val="1E1E1E"/>
                <w:sz w:val="17"/>
              </w:rPr>
              <w:t>Improved operator safety, multi-mode drone flight control, and robust tracking in high-g flight maneuvers.</w:t>
            </w:r>
          </w:p>
        </w:tc>
      </w:tr>
    </w:tbl>
    <w:p>
      <w:pPr>
        <w:spacing w:after="120"/>
      </w:pPr>
    </w:p>
    <w:p>
      <w:pPr>
        <w:keepNext/>
        <w:spacing w:before="280" w:after="120"/>
      </w:pPr>
      <w:r>
        <w:rPr>
          <w:rFonts w:ascii="Arial" w:hAnsi="Arial"/>
          <w:b/>
          <w:color w:val="0F2A4A"/>
          <w:sz w:val="28"/>
        </w:rPr>
        <w:t>3. Core Technical Architecture &amp; Subsystem Deep Dive</w:t>
      </w:r>
    </w:p>
    <w:p>
      <w:pPr>
        <w:spacing w:after="80" w:line="276" w:lineRule="auto"/>
      </w:pPr>
      <w:r>
        <w:rPr>
          <w:rFonts w:ascii="Arial" w:hAnsi="Arial"/>
          <w:color w:val="282828"/>
          <w:sz w:val="20"/>
        </w:rPr>
        <w:t>The Interceptor AI Module is engineered around a multi-layered, asynchronous pipeline designed for high frame-rate responsiveness and deterministic control loops:</w:t>
      </w:r>
    </w:p>
    <w:p>
      <w:pPr>
        <w:pStyle w:val="ListBullet"/>
        <w:spacing w:after="60" w:line="276" w:lineRule="auto"/>
      </w:pPr>
      <w:r>
        <w:rPr>
          <w:rFonts w:ascii="Arial" w:hAnsi="Arial"/>
          <w:b/>
          <w:color w:val="0F2A4A"/>
          <w:sz w:val="19"/>
        </w:rPr>
        <w:t xml:space="preserve">Multi-Threaded Tracking Worker (TrackingWorkerThread): </w:t>
      </w:r>
      <w:r>
        <w:rPr>
          <w:rFonts w:ascii="Arial" w:hAnsi="Arial"/>
          <w:color w:val="282828"/>
          <w:sz w:val="19"/>
        </w:rPr>
        <w:t>Decouples camera ingestion and vision processing from the UI thread. Emits processed video frames, detected bounding boxes, target profiles, and FPS metrics at up to 60+ Hz via PyQt signals.</w:t>
      </w:r>
    </w:p>
    <w:p>
      <w:pPr>
        <w:pStyle w:val="ListBullet"/>
        <w:spacing w:after="60" w:line="276" w:lineRule="auto"/>
      </w:pPr>
      <w:r>
        <w:rPr>
          <w:rFonts w:ascii="Arial" w:hAnsi="Arial"/>
          <w:b/>
          <w:color w:val="0F2A4A"/>
          <w:sz w:val="19"/>
        </w:rPr>
        <w:t xml:space="preserve">Hybrid Detection &amp; Tracking Engine: </w:t>
      </w:r>
      <w:r>
        <w:rPr>
          <w:rFonts w:ascii="Arial" w:hAnsi="Arial"/>
          <w:color w:val="282828"/>
          <w:sz w:val="19"/>
        </w:rPr>
        <w:t>Employs a multi-tier tracking hierarchy: (1) Scale-Aware Lock for ground-truth bounding box size, (2) Optical Flow (Lucas-Kanade) / CSRT / KCF for micro-motion tracking between neural frames, and (3) Periodic YOLO verification (YOLO_EVERY_N) to correct optical drift and reacquire lost targets.</w:t>
      </w:r>
    </w:p>
    <w:p>
      <w:pPr>
        <w:pStyle w:val="ListBullet"/>
        <w:spacing w:after="60" w:line="276" w:lineRule="auto"/>
      </w:pPr>
      <w:r>
        <w:rPr>
          <w:rFonts w:ascii="Arial" w:hAnsi="Arial"/>
          <w:b/>
          <w:color w:val="0F2A4A"/>
          <w:sz w:val="19"/>
        </w:rPr>
        <w:t xml:space="preserve">4-Axis Visual Servoing Controller (FPVFollowController): </w:t>
      </w:r>
      <w:r>
        <w:rPr>
          <w:rFonts w:ascii="Arial" w:hAnsi="Arial"/>
          <w:color w:val="282828"/>
          <w:sz w:val="19"/>
        </w:rPr>
        <w:t>Transforms 2D normalized screen error (X, Y) into proportional, integral, and derivative (PID) stick commands for Yaw, Pitch, Roll, and Throttle. Incorporates soft deadband bleeding, exponential curves, output slew limiting, and lead-time forward projection.</w:t>
      </w:r>
    </w:p>
    <w:p>
      <w:pPr>
        <w:pStyle w:val="ListBullet"/>
        <w:spacing w:after="60" w:line="276" w:lineRule="auto"/>
      </w:pPr>
      <w:r>
        <w:rPr>
          <w:rFonts w:ascii="Arial" w:hAnsi="Arial"/>
          <w:b/>
          <w:color w:val="0F2A4A"/>
          <w:sz w:val="19"/>
        </w:rPr>
        <w:t xml:space="preserve">Dual Flight Controller Abstraction: </w:t>
      </w:r>
      <w:r>
        <w:rPr>
          <w:rFonts w:ascii="Arial" w:hAnsi="Arial"/>
          <w:color w:val="282828"/>
          <w:sz w:val="19"/>
        </w:rPr>
        <w:t>Provides native support for both INAV / Cleanflight / Betaflight (via MSP protocol SET_RAW_RC at 50Hz) and ArduPilot / PX4 (via MAVLink v1/v2 RC channel overrides and telemetry heartbeats).</w:t>
      </w:r>
    </w:p>
    <w:p>
      <w:pPr>
        <w:pStyle w:val="ListBullet"/>
        <w:spacing w:after="60" w:line="276" w:lineRule="auto"/>
      </w:pPr>
      <w:r>
        <w:rPr>
          <w:rFonts w:ascii="Arial" w:hAnsi="Arial"/>
          <w:b/>
          <w:color w:val="0F2A4A"/>
          <w:sz w:val="19"/>
        </w:rPr>
        <w:t xml:space="preserve">Target Profile &amp; Database System (TargetStore): </w:t>
      </w:r>
      <w:r>
        <w:rPr>
          <w:rFonts w:ascii="Arial" w:hAnsi="Arial"/>
          <w:color w:val="282828"/>
          <w:sz w:val="19"/>
        </w:rPr>
        <w:t>Persistent SQLite repository storing target profiles, threat classification, visual feature templates, estimated physical dimensions, and engagement histories.</w:t>
      </w:r>
    </w:p>
    <w:p>
      <w:pPr>
        <w:pStyle w:val="ListBullet"/>
        <w:spacing w:after="60" w:line="276" w:lineRule="auto"/>
      </w:pPr>
      <w:r>
        <w:rPr>
          <w:rFonts w:ascii="Arial" w:hAnsi="Arial"/>
          <w:b/>
          <w:color w:val="0F2A4A"/>
          <w:sz w:val="19"/>
        </w:rPr>
        <w:t xml:space="preserve">Comprehensive Safety &amp; Failsafe Subsystem: </w:t>
      </w:r>
      <w:r>
        <w:rPr>
          <w:rFonts w:ascii="Arial" w:hAnsi="Arial"/>
          <w:color w:val="282828"/>
          <w:sz w:val="19"/>
        </w:rPr>
        <w:t>Monitors target lock stability, telemetry heartbeat timeouts, extreme vehicle attitude angles, and invalid bounding boxes, immediately executing disarm or flight mode fallback when thresholds are breached.</w:t>
      </w:r>
    </w:p>
    <w:p>
      <w:pPr>
        <w:keepNext/>
        <w:spacing w:before="280" w:after="120"/>
      </w:pPr>
      <w:r>
        <w:rPr>
          <w:rFonts w:ascii="Arial" w:hAnsi="Arial"/>
          <w:b/>
          <w:color w:val="0F2A4A"/>
          <w:sz w:val="28"/>
        </w:rPr>
        <w:t>4. Problems Solved for the Main AI Model</w:t>
      </w:r>
    </w:p>
    <w:p>
      <w:pPr>
        <w:spacing w:after="80" w:line="276" w:lineRule="auto"/>
      </w:pPr>
      <w:r>
        <w:rPr>
          <w:rFonts w:ascii="Arial" w:hAnsi="Arial"/>
          <w:color w:val="282828"/>
          <w:sz w:val="20"/>
        </w:rPr>
        <w:t>The deep learning detection and target tracking pipeline underwent substantial optimization to resolve real-world deployment challenges:</w:t>
      </w:r>
    </w:p>
    <w:p>
      <w:pPr>
        <w:pStyle w:val="ListBullet"/>
        <w:spacing w:after="60" w:line="276" w:lineRule="auto"/>
      </w:pPr>
      <w:r>
        <w:rPr>
          <w:rFonts w:ascii="Arial" w:hAnsi="Arial"/>
          <w:b/>
          <w:color w:val="0F2A4A"/>
          <w:sz w:val="19"/>
        </w:rPr>
        <w:t>Problem 1: Inference Latency vs High-Speed Aerial Targets</w:t>
        <w:br/>
      </w:r>
      <w:r>
        <w:rPr>
          <w:rFonts w:ascii="Arial" w:hAnsi="Arial"/>
          <w:color w:val="282828"/>
          <w:sz w:val="19"/>
        </w:rPr>
        <w:t>Issue: Deep neural networks (even nano architectures) introduce 15-40ms latency per frame, causing the visual servo to lag behind high-speed maneuvering drones.</w:t>
        <w:br/>
        <w:t>Solution: Developed the HybridYoloLockTracker pipeline. YOLO inference is executed periodically (e.g., every 6–12 frames), while high-speed correlation filters (CSRT/KCF) and optical flow compute inter-frame displacements at 60+ FPS. A velocity-based motion predictor projects the target position forward by a lead time (lead_s = 0.12s), eliminating control latency.</w:t>
      </w:r>
    </w:p>
    <w:p>
      <w:pPr>
        <w:pStyle w:val="ListBullet"/>
        <w:spacing w:after="60" w:line="276" w:lineRule="auto"/>
      </w:pPr>
      <w:r>
        <w:rPr>
          <w:rFonts w:ascii="Arial" w:hAnsi="Arial"/>
          <w:b/>
          <w:color w:val="0F2A4A"/>
          <w:sz w:val="19"/>
        </w:rPr>
        <w:t>Problem 2: Target Loss During Rapid Occlusions and Rapid Turns</w:t>
        <w:br/>
      </w:r>
      <w:r>
        <w:rPr>
          <w:rFonts w:ascii="Arial" w:hAnsi="Arial"/>
          <w:color w:val="282828"/>
          <w:sz w:val="19"/>
        </w:rPr>
        <w:t>Issue: Pure optical tracking drifts during rapid target turns or when targets momentarily pass behind obstacles.</w:t>
        <w:br/>
        <w:t>Solution: Implemented an automated reacquisition engine with IoU spatial matching and histogram similarity validation. If the correlation tracker loses confidence, the system enters a 'Hold' state for up to 20 frames while YOLO scans the predicted trajectory window for re-locking.</w:t>
      </w:r>
    </w:p>
    <w:p>
      <w:pPr>
        <w:pStyle w:val="ListBullet"/>
        <w:spacing w:after="60" w:line="276" w:lineRule="auto"/>
      </w:pPr>
      <w:r>
        <w:rPr>
          <w:rFonts w:ascii="Arial" w:hAnsi="Arial"/>
          <w:b/>
          <w:color w:val="0F2A4A"/>
          <w:sz w:val="19"/>
        </w:rPr>
        <w:t>Problem 3: Generalization Across Unknown Aerial Threats</w:t>
        <w:br/>
      </w:r>
      <w:r>
        <w:rPr>
          <w:rFonts w:ascii="Arial" w:hAnsi="Arial"/>
          <w:color w:val="282828"/>
          <w:sz w:val="19"/>
        </w:rPr>
        <w:t>Issue: Standard COCO-trained models only recognize generic classes (airplanes, birds), failing on custom quadcopters, fixed-wing drones, or missile shapes.</w:t>
        <w:br/>
        <w:t>Solution: Integrated triple-mode detection architecture in YOLODetector:</w:t>
        <w:br/>
        <w:t xml:space="preserve">  • 'world': Leverages YOLO-World open-vocabulary prompting (e.g. 'drone', 'UAV', 'quadcopter', 'missile') without retraining.</w:t>
        <w:br/>
        <w:t xml:space="preserve">  • 'custom': Dedicated fine-tuned weights (drone_missile_best.pt) trained via the included train_drone_missile.py script.</w:t>
        <w:br/>
        <w:t xml:space="preserve">  • 'coco': Standard lightweight baseline weights (yolov8n.pt / yolo11n.pt).</w:t>
      </w:r>
    </w:p>
    <w:p>
      <w:pPr>
        <w:pStyle w:val="ListBullet"/>
        <w:spacing w:after="60" w:line="276" w:lineRule="auto"/>
      </w:pPr>
      <w:r>
        <w:rPr>
          <w:rFonts w:ascii="Arial" w:hAnsi="Arial"/>
          <w:b/>
          <w:color w:val="0F2A4A"/>
          <w:sz w:val="19"/>
        </w:rPr>
        <w:t>Problem 4: Bounding Box Jitter and Distance Estimation Instability</w:t>
        <w:br/>
      </w:r>
      <w:r>
        <w:rPr>
          <w:rFonts w:ascii="Arial" w:hAnsi="Arial"/>
          <w:color w:val="282828"/>
          <w:sz w:val="19"/>
        </w:rPr>
        <w:t>Issue: Minor bounding box fluctuations produce massive noise in pinhole camera distance calculations (Z = (F * RealSize) / BoxSize).</w:t>
        <w:br/>
        <w:t>Solution: Implemented ScaleAwareLock and PixelLockEngine to decouple bounding box center tracking from bounding box scale estimation. Applied exponential moving average (alpha filters) on measured pixel dimensions to generate smooth, stable distance metrics.</w:t>
      </w:r>
    </w:p>
    <w:p>
      <w:pPr>
        <w:keepNext/>
        <w:spacing w:before="280" w:after="120"/>
      </w:pPr>
      <w:r>
        <w:rPr>
          <w:rFonts w:ascii="Arial" w:hAnsi="Arial"/>
          <w:b/>
          <w:color w:val="0F2A4A"/>
          <w:sz w:val="28"/>
        </w:rPr>
        <w:t>5. Problems Solved for Radxa &amp; Embedded Edge Hardware</w:t>
      </w:r>
    </w:p>
    <w:p>
      <w:pPr>
        <w:spacing w:after="80" w:line="276" w:lineRule="auto"/>
      </w:pPr>
      <w:r>
        <w:rPr>
          <w:rFonts w:ascii="Arial" w:hAnsi="Arial"/>
          <w:color w:val="282828"/>
          <w:sz w:val="20"/>
        </w:rPr>
        <w:t>Deploying computer vision and autonomous flight guidance on resource-constrained Single Board Computers like the Radxa series (Rock 5B / Zero) required specific engineering solutions:</w:t>
      </w:r>
    </w:p>
    <w:p>
      <w:pPr>
        <w:pStyle w:val="ListBullet"/>
        <w:spacing w:after="60" w:line="276" w:lineRule="auto"/>
      </w:pPr>
      <w:r>
        <w:rPr>
          <w:rFonts w:ascii="Arial" w:hAnsi="Arial"/>
          <w:b/>
          <w:color w:val="0F2A4A"/>
          <w:sz w:val="19"/>
        </w:rPr>
        <w:t>Problem 1: Extreme CPU / GPU Compute Constraints</w:t>
        <w:br/>
      </w:r>
      <w:r>
        <w:rPr>
          <w:rFonts w:ascii="Arial" w:hAnsi="Arial"/>
          <w:color w:val="282828"/>
          <w:sz w:val="19"/>
        </w:rPr>
        <w:t>Issue: Onboard SBCs lack heavy desktop GPUs. Running continuous deep learning models causes CPU thermal throttling, frame drops, and severe control stutter.</w:t>
        <w:br/>
        <w:t>Solution: Engineered aggressive compute optimization flags:</w:t>
        <w:br/>
        <w:t xml:space="preserve">  • Configurable YOLO_EVERY_N interval allowing YOLO to execute at 2–5 Hz while lightweight KCF tracking runs at full camera frame rate.</w:t>
        <w:br/>
        <w:t xml:space="preserve">  • Built-in --cpu and --safe-mode flags that force FP32/FP16 CPU pipelines with multi-threading optimization.</w:t>
        <w:br/>
        <w:t xml:space="preserve">  • Normalized coordinate system allowing the vision pipeline to ingest lower resolution streams (e.g., 640x480 or 320x240) without degrading PID accuracy.</w:t>
      </w:r>
    </w:p>
    <w:p>
      <w:pPr>
        <w:pStyle w:val="ListBullet"/>
        <w:spacing w:after="60" w:line="276" w:lineRule="auto"/>
      </w:pPr>
      <w:r>
        <w:rPr>
          <w:rFonts w:ascii="Arial" w:hAnsi="Arial"/>
          <w:b/>
          <w:color w:val="0F2A4A"/>
          <w:sz w:val="19"/>
        </w:rPr>
        <w:t>Problem 2: Complex Runtime Dependencies &amp; Native Libraries on Edge Devices</w:t>
        <w:br/>
      </w:r>
      <w:r>
        <w:rPr>
          <w:rFonts w:ascii="Arial" w:hAnsi="Arial"/>
          <w:color w:val="282828"/>
          <w:sz w:val="19"/>
        </w:rPr>
        <w:t>Issue: Setting up PyTorch, CUDA, OpenCV, PyQt6, and PySerial on Linux/Windows SBC environments often encounters broken package dependencies and version conflicts.</w:t>
        <w:br/>
        <w:t>Solution: Created a centralized compilation pipeline via build_exe.py and build_exe.bat. The script packages all hidden imports, models, calibration files, and runtime binaries into a self-contained executable, eliminating edge dependency installation issues.</w:t>
      </w:r>
    </w:p>
    <w:p>
      <w:pPr>
        <w:pStyle w:val="ListBullet"/>
        <w:spacing w:after="60" w:line="276" w:lineRule="auto"/>
      </w:pPr>
      <w:r>
        <w:rPr>
          <w:rFonts w:ascii="Arial" w:hAnsi="Arial"/>
          <w:b/>
          <w:color w:val="0F2A4A"/>
          <w:sz w:val="19"/>
        </w:rPr>
        <w:t>Problem 3: Video Ingestion Locks &amp; Driver Incompatibilities</w:t>
        <w:br/>
      </w:r>
      <w:r>
        <w:rPr>
          <w:rFonts w:ascii="Arial" w:hAnsi="Arial"/>
          <w:color w:val="282828"/>
          <w:sz w:val="19"/>
        </w:rPr>
        <w:t>Issue: DirectShow and MSMF video capture on SBC USB/FPV capture cards frequently caused GUI thread hangs or camera opening failures.</w:t>
        <w:br/>
        <w:t>Solution: Added hardware transform bypass flags (OPENCV_VIDEOINPUT_MSMF_ENABLE_HW_TRANSFORMS=0, OPENCV_LOG_LEVEL=OFF), multi-backend fallback probing (CAP_DSHOW / default), and an automated synthetic frame generator to prevent application crashes on signal loss.</w:t>
      </w:r>
    </w:p>
    <w:p>
      <w:pPr>
        <w:pStyle w:val="ListBullet"/>
        <w:spacing w:after="60" w:line="276" w:lineRule="auto"/>
      </w:pPr>
      <w:r>
        <w:rPr>
          <w:rFonts w:ascii="Arial" w:hAnsi="Arial"/>
          <w:b/>
          <w:color w:val="0F2A4A"/>
          <w:sz w:val="19"/>
        </w:rPr>
        <w:t>Problem 4: Headless Embedded Operation Without Display</w:t>
        <w:br/>
      </w:r>
      <w:r>
        <w:rPr>
          <w:rFonts w:ascii="Arial" w:hAnsi="Arial"/>
          <w:color w:val="282828"/>
          <w:sz w:val="19"/>
        </w:rPr>
        <w:t>Issue: Radxa boards mounted directly inside drone airframes operate headlessly without a display or desktop environment.</w:t>
        <w:br/>
        <w:t>Solution: Developed a dedicated headless CLI mode (--cli) in main.py that runs the complete tracking, distance estimation, and MSP/MAVLink visual servo loop using less than 180MB RAM and zero graphical dependencies.</w:t>
      </w:r>
    </w:p>
    <w:p>
      <w:pPr>
        <w:pStyle w:val="ListBullet"/>
        <w:spacing w:after="60" w:line="276" w:lineRule="auto"/>
      </w:pPr>
      <w:r>
        <w:rPr>
          <w:rFonts w:ascii="Arial" w:hAnsi="Arial"/>
          <w:b/>
          <w:color w:val="0F2A4A"/>
          <w:sz w:val="19"/>
        </w:rPr>
        <w:t>Problem 5: Data Persistence in Portable Executables</w:t>
        <w:br/>
      </w:r>
      <w:r>
        <w:rPr>
          <w:rFonts w:ascii="Arial" w:hAnsi="Arial"/>
          <w:color w:val="282828"/>
          <w:sz w:val="19"/>
        </w:rPr>
        <w:t>Issue: Bundled PyInstaller executables extract to temporary directories (sys._MEIPASS), causing runtime PID tuning, presets, and logs to be wiped on shutdown.</w:t>
        <w:br/>
        <w:t>Solution: Created paths.py to isolate read-only bundled assets from persistent user data stored in standard OS directories (%APPDATA%\ArjunaGCS on Windows, ~/.config/ArjunaGCS on Linux).</w:t>
      </w:r>
    </w:p>
    <w:p>
      <w:pPr>
        <w:keepNext/>
        <w:spacing w:before="280" w:after="120"/>
      </w:pPr>
      <w:r>
        <w:rPr>
          <w:rFonts w:ascii="Arial" w:hAnsi="Arial"/>
          <w:b/>
          <w:color w:val="0F2A4A"/>
          <w:sz w:val="28"/>
        </w:rPr>
        <w:t>6. Visual Servoing, PID Guidance, &amp; Flight Controller Link</w:t>
      </w:r>
    </w:p>
    <w:p>
      <w:pPr>
        <w:spacing w:after="80" w:line="276" w:lineRule="auto"/>
      </w:pPr>
      <w:r>
        <w:rPr>
          <w:rFonts w:ascii="Arial" w:hAnsi="Arial"/>
          <w:color w:val="282828"/>
          <w:sz w:val="20"/>
        </w:rPr>
        <w:t>The flight guidance module translates visual tracking coordinates into real-time flight control surfaces:</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Mar>
              <w:top w:w="80" w:type="dxa"/>
              <w:bottom w:w="80" w:type="dxa"/>
              <w:left w:w="80" w:type="dxa"/>
              <w:right w:w="80" w:type="dxa"/>
            </w:tcMar>
          </w:tcPr>
          <w:p>
            <w:pPr>
              <w:jc w:val="center"/>
            </w:pPr>
            <w:r>
              <w:rPr>
                <w:rFonts w:ascii="Arial" w:hAnsi="Arial"/>
                <w:b/>
                <w:color w:val="FFFFFF"/>
                <w:sz w:val="17"/>
              </w:rPr>
              <w:t>Axis / Channel</w:t>
            </w:r>
          </w:p>
        </w:tc>
        <w:tc>
          <w:tcPr>
            <w:tcW w:type="dxa" w:w="2484"/>
            <w:shd w:fill="1F4E79"/>
            <w:tcMar>
              <w:top w:w="80" w:type="dxa"/>
              <w:bottom w:w="80" w:type="dxa"/>
              <w:left w:w="80" w:type="dxa"/>
              <w:right w:w="80" w:type="dxa"/>
            </w:tcMar>
          </w:tcPr>
          <w:p>
            <w:pPr>
              <w:jc w:val="center"/>
            </w:pPr>
            <w:r>
              <w:rPr>
                <w:rFonts w:ascii="Arial" w:hAnsi="Arial"/>
                <w:b/>
                <w:color w:val="FFFFFF"/>
                <w:sz w:val="17"/>
              </w:rPr>
              <w:t>Default PID (Kp / Ki / Kd)</w:t>
            </w:r>
          </w:p>
        </w:tc>
        <w:tc>
          <w:tcPr>
            <w:tcW w:type="dxa" w:w="2484"/>
            <w:shd w:fill="1F4E79"/>
            <w:tcMar>
              <w:top w:w="80" w:type="dxa"/>
              <w:bottom w:w="80" w:type="dxa"/>
              <w:left w:w="80" w:type="dxa"/>
              <w:right w:w="80" w:type="dxa"/>
            </w:tcMar>
          </w:tcPr>
          <w:p>
            <w:pPr>
              <w:jc w:val="center"/>
            </w:pPr>
            <w:r>
              <w:rPr>
                <w:rFonts w:ascii="Arial" w:hAnsi="Arial"/>
                <w:b/>
                <w:color w:val="FFFFFF"/>
                <w:sz w:val="17"/>
              </w:rPr>
              <w:t>Max Limit</w:t>
            </w:r>
          </w:p>
        </w:tc>
        <w:tc>
          <w:tcPr>
            <w:tcW w:type="dxa" w:w="2484"/>
            <w:shd w:fill="1F4E79"/>
            <w:tcMar>
              <w:top w:w="80" w:type="dxa"/>
              <w:bottom w:w="80" w:type="dxa"/>
              <w:left w:w="80" w:type="dxa"/>
              <w:right w:w="80" w:type="dxa"/>
            </w:tcMar>
          </w:tcPr>
          <w:p>
            <w:pPr>
              <w:jc w:val="center"/>
            </w:pPr>
            <w:r>
              <w:rPr>
                <w:rFonts w:ascii="Arial" w:hAnsi="Arial"/>
                <w:b/>
                <w:color w:val="FFFFFF"/>
                <w:sz w:val="17"/>
              </w:rPr>
              <w:t>Behavior / Function</w:t>
            </w:r>
          </w:p>
        </w:tc>
      </w:tr>
      <w:tr>
        <w:tc>
          <w:tcPr>
            <w:tcW w:type="dxa" w:w="2484"/>
            <w:shd w:fill="F7FAFC"/>
            <w:tcMar>
              <w:top w:w="60" w:type="dxa"/>
              <w:bottom w:w="60" w:type="dxa"/>
              <w:left w:w="80" w:type="dxa"/>
              <w:right w:w="80" w:type="dxa"/>
            </w:tcMar>
          </w:tcPr>
          <w:p>
            <w:r>
              <w:rPr>
                <w:rFonts w:ascii="Arial" w:hAnsi="Arial"/>
                <w:color w:val="1E1E1E"/>
                <w:sz w:val="17"/>
              </w:rPr>
              <w:t>Yaw Axis (CH4)</w:t>
            </w:r>
          </w:p>
        </w:tc>
        <w:tc>
          <w:tcPr>
            <w:tcW w:type="dxa" w:w="2484"/>
            <w:shd w:fill="F7FAFC"/>
            <w:tcMar>
              <w:top w:w="60" w:type="dxa"/>
              <w:bottom w:w="60" w:type="dxa"/>
              <w:left w:w="80" w:type="dxa"/>
              <w:right w:w="80" w:type="dxa"/>
            </w:tcMar>
          </w:tcPr>
          <w:p>
            <w:r>
              <w:rPr>
                <w:rFonts w:ascii="Arial" w:hAnsi="Arial"/>
                <w:color w:val="1E1E1E"/>
                <w:sz w:val="17"/>
              </w:rPr>
              <w:t>340.0 / 45.0 / 60.0</w:t>
            </w:r>
          </w:p>
        </w:tc>
        <w:tc>
          <w:tcPr>
            <w:tcW w:type="dxa" w:w="2484"/>
            <w:shd w:fill="F7FAFC"/>
            <w:tcMar>
              <w:top w:w="60" w:type="dxa"/>
              <w:bottom w:w="60" w:type="dxa"/>
              <w:left w:w="80" w:type="dxa"/>
              <w:right w:w="80" w:type="dxa"/>
            </w:tcMar>
          </w:tcPr>
          <w:p>
            <w:r>
              <w:rPr>
                <w:rFonts w:ascii="Arial" w:hAnsi="Arial"/>
                <w:color w:val="1E1E1E"/>
                <w:sz w:val="17"/>
              </w:rPr>
              <w:t>±400 µs (1100–1900)</w:t>
            </w:r>
          </w:p>
        </w:tc>
        <w:tc>
          <w:tcPr>
            <w:tcW w:type="dxa" w:w="2484"/>
            <w:shd w:fill="F7FAFC"/>
            <w:tcMar>
              <w:top w:w="60" w:type="dxa"/>
              <w:bottom w:w="60" w:type="dxa"/>
              <w:left w:w="80" w:type="dxa"/>
              <w:right w:w="80" w:type="dxa"/>
            </w:tcMar>
          </w:tcPr>
          <w:p>
            <w:r>
              <w:rPr>
                <w:rFonts w:ascii="Arial" w:hAnsi="Arial"/>
                <w:color w:val="1E1E1E"/>
                <w:sz w:val="17"/>
              </w:rPr>
              <w:t>Steers drone heading to align target with optical center.</w:t>
            </w:r>
          </w:p>
        </w:tc>
      </w:tr>
      <w:tr>
        <w:tc>
          <w:tcPr>
            <w:tcW w:type="dxa" w:w="2484"/>
            <w:shd w:fill="FFFFFF"/>
            <w:tcMar>
              <w:top w:w="60" w:type="dxa"/>
              <w:bottom w:w="60" w:type="dxa"/>
              <w:left w:w="80" w:type="dxa"/>
              <w:right w:w="80" w:type="dxa"/>
            </w:tcMar>
          </w:tcPr>
          <w:p>
            <w:r>
              <w:rPr>
                <w:rFonts w:ascii="Arial" w:hAnsi="Arial"/>
                <w:color w:val="1E1E1E"/>
                <w:sz w:val="17"/>
              </w:rPr>
              <w:t>Pitch / Altitude (CH3)</w:t>
            </w:r>
          </w:p>
        </w:tc>
        <w:tc>
          <w:tcPr>
            <w:tcW w:type="dxa" w:w="2484"/>
            <w:shd w:fill="FFFFFF"/>
            <w:tcMar>
              <w:top w:w="60" w:type="dxa"/>
              <w:bottom w:w="60" w:type="dxa"/>
              <w:left w:w="80" w:type="dxa"/>
              <w:right w:w="80" w:type="dxa"/>
            </w:tcMar>
          </w:tcPr>
          <w:p>
            <w:r>
              <w:rPr>
                <w:rFonts w:ascii="Arial" w:hAnsi="Arial"/>
                <w:color w:val="1E1E1E"/>
                <w:sz w:val="17"/>
              </w:rPr>
              <w:t>310.0 / 40.0 / 55.0</w:t>
            </w:r>
          </w:p>
        </w:tc>
        <w:tc>
          <w:tcPr>
            <w:tcW w:type="dxa" w:w="2484"/>
            <w:shd w:fill="FFFFFF"/>
            <w:tcMar>
              <w:top w:w="60" w:type="dxa"/>
              <w:bottom w:w="60" w:type="dxa"/>
              <w:left w:w="80" w:type="dxa"/>
              <w:right w:w="80" w:type="dxa"/>
            </w:tcMar>
          </w:tcPr>
          <w:p>
            <w:r>
              <w:rPr>
                <w:rFonts w:ascii="Arial" w:hAnsi="Arial"/>
                <w:color w:val="1E1E1E"/>
                <w:sz w:val="17"/>
              </w:rPr>
              <w:t>±360 µs (1140–1860)</w:t>
            </w:r>
          </w:p>
        </w:tc>
        <w:tc>
          <w:tcPr>
            <w:tcW w:type="dxa" w:w="2484"/>
            <w:shd w:fill="FFFFFF"/>
            <w:tcMar>
              <w:top w:w="60" w:type="dxa"/>
              <w:bottom w:w="60" w:type="dxa"/>
              <w:left w:w="80" w:type="dxa"/>
              <w:right w:w="80" w:type="dxa"/>
            </w:tcMar>
          </w:tcPr>
          <w:p>
            <w:r>
              <w:rPr>
                <w:rFonts w:ascii="Arial" w:hAnsi="Arial"/>
                <w:color w:val="1E1E1E"/>
                <w:sz w:val="17"/>
              </w:rPr>
              <w:t>Adjusts drone nose pitch / elevation to match target height.</w:t>
            </w:r>
          </w:p>
        </w:tc>
      </w:tr>
      <w:tr>
        <w:tc>
          <w:tcPr>
            <w:tcW w:type="dxa" w:w="2484"/>
            <w:shd w:fill="F7FAFC"/>
            <w:tcMar>
              <w:top w:w="60" w:type="dxa"/>
              <w:bottom w:w="60" w:type="dxa"/>
              <w:left w:w="80" w:type="dxa"/>
              <w:right w:w="80" w:type="dxa"/>
            </w:tcMar>
          </w:tcPr>
          <w:p>
            <w:r>
              <w:rPr>
                <w:rFonts w:ascii="Arial" w:hAnsi="Arial"/>
                <w:color w:val="1E1E1E"/>
                <w:sz w:val="17"/>
              </w:rPr>
              <w:t>Roll Axis (CH1)</w:t>
            </w:r>
          </w:p>
        </w:tc>
        <w:tc>
          <w:tcPr>
            <w:tcW w:type="dxa" w:w="2484"/>
            <w:shd w:fill="F7FAFC"/>
            <w:tcMar>
              <w:top w:w="60" w:type="dxa"/>
              <w:bottom w:w="60" w:type="dxa"/>
              <w:left w:w="80" w:type="dxa"/>
              <w:right w:w="80" w:type="dxa"/>
            </w:tcMar>
          </w:tcPr>
          <w:p>
            <w:r>
              <w:rPr>
                <w:rFonts w:ascii="Arial" w:hAnsi="Arial"/>
                <w:color w:val="1E1E1E"/>
                <w:sz w:val="17"/>
              </w:rPr>
              <w:t>80.0 / 8.0 / 15.0</w:t>
            </w:r>
          </w:p>
        </w:tc>
        <w:tc>
          <w:tcPr>
            <w:tcW w:type="dxa" w:w="2484"/>
            <w:shd w:fill="F7FAFC"/>
            <w:tcMar>
              <w:top w:w="60" w:type="dxa"/>
              <w:bottom w:w="60" w:type="dxa"/>
              <w:left w:w="80" w:type="dxa"/>
              <w:right w:w="80" w:type="dxa"/>
            </w:tcMar>
          </w:tcPr>
          <w:p>
            <w:r>
              <w:rPr>
                <w:rFonts w:ascii="Arial" w:hAnsi="Arial"/>
                <w:color w:val="1E1E1E"/>
                <w:sz w:val="17"/>
              </w:rPr>
              <w:t>±120 µs (1380–1620)</w:t>
            </w:r>
          </w:p>
        </w:tc>
        <w:tc>
          <w:tcPr>
            <w:tcW w:type="dxa" w:w="2484"/>
            <w:shd w:fill="F7FAFC"/>
            <w:tcMar>
              <w:top w:w="60" w:type="dxa"/>
              <w:bottom w:w="60" w:type="dxa"/>
              <w:left w:w="80" w:type="dxa"/>
              <w:right w:w="80" w:type="dxa"/>
            </w:tcMar>
          </w:tcPr>
          <w:p>
            <w:r>
              <w:rPr>
                <w:rFonts w:ascii="Arial" w:hAnsi="Arial"/>
                <w:color w:val="1E1E1E"/>
                <w:sz w:val="17"/>
              </w:rPr>
              <w:t>Optional coordinated bank/strafe during high-rate turns.</w:t>
            </w:r>
          </w:p>
        </w:tc>
      </w:tr>
      <w:tr>
        <w:tc>
          <w:tcPr>
            <w:tcW w:type="dxa" w:w="2484"/>
            <w:shd w:fill="FFFFFF"/>
            <w:tcMar>
              <w:top w:w="60" w:type="dxa"/>
              <w:bottom w:w="60" w:type="dxa"/>
              <w:left w:w="80" w:type="dxa"/>
              <w:right w:w="80" w:type="dxa"/>
            </w:tcMar>
          </w:tcPr>
          <w:p>
            <w:r>
              <w:rPr>
                <w:rFonts w:ascii="Arial" w:hAnsi="Arial"/>
                <w:color w:val="1E1E1E"/>
                <w:sz w:val="17"/>
              </w:rPr>
              <w:t>Throttle (CH2)</w:t>
            </w:r>
          </w:p>
        </w:tc>
        <w:tc>
          <w:tcPr>
            <w:tcW w:type="dxa" w:w="2484"/>
            <w:shd w:fill="FFFFFF"/>
            <w:tcMar>
              <w:top w:w="60" w:type="dxa"/>
              <w:bottom w:w="60" w:type="dxa"/>
              <w:left w:w="80" w:type="dxa"/>
              <w:right w:w="80" w:type="dxa"/>
            </w:tcMar>
          </w:tcPr>
          <w:p>
            <w:r>
              <w:rPr>
                <w:rFonts w:ascii="Arial" w:hAnsi="Arial"/>
                <w:color w:val="1E1E1E"/>
                <w:sz w:val="17"/>
              </w:rPr>
              <w:t>Stepped / Manual (±25 µs)</w:t>
            </w:r>
          </w:p>
        </w:tc>
        <w:tc>
          <w:tcPr>
            <w:tcW w:type="dxa" w:w="2484"/>
            <w:shd w:fill="FFFFFF"/>
            <w:tcMar>
              <w:top w:w="60" w:type="dxa"/>
              <w:bottom w:w="60" w:type="dxa"/>
              <w:left w:w="80" w:type="dxa"/>
              <w:right w:w="80" w:type="dxa"/>
            </w:tcMar>
          </w:tcPr>
          <w:p>
            <w:r>
              <w:rPr>
                <w:rFonts w:ascii="Arial" w:hAnsi="Arial"/>
                <w:color w:val="1E1E1E"/>
                <w:sz w:val="17"/>
              </w:rPr>
              <w:t>1000–2000 µs</w:t>
            </w:r>
          </w:p>
        </w:tc>
        <w:tc>
          <w:tcPr>
            <w:tcW w:type="dxa" w:w="2484"/>
            <w:shd w:fill="FFFFFF"/>
            <w:tcMar>
              <w:top w:w="60" w:type="dxa"/>
              <w:bottom w:w="60" w:type="dxa"/>
              <w:left w:w="80" w:type="dxa"/>
              <w:right w:w="80" w:type="dxa"/>
            </w:tcMar>
          </w:tcPr>
          <w:p>
            <w:r>
              <w:rPr>
                <w:rFonts w:ascii="Arial" w:hAnsi="Arial"/>
                <w:color w:val="1E1E1E"/>
                <w:sz w:val="17"/>
              </w:rPr>
              <w:t>Manual operator throttle or distance-based approach pacing.</w:t>
            </w:r>
          </w:p>
        </w:tc>
      </w:tr>
    </w:tbl>
    <w:p>
      <w:pPr>
        <w:spacing w:after="120"/>
      </w:pPr>
    </w:p>
    <w:p>
      <w:pPr>
        <w:keepNext/>
        <w:spacing w:before="280" w:after="120"/>
      </w:pPr>
      <w:r>
        <w:rPr>
          <w:rFonts w:ascii="Arial" w:hAnsi="Arial"/>
          <w:b/>
          <w:color w:val="0F2A4A"/>
          <w:sz w:val="28"/>
        </w:rPr>
        <w:t>7. Arjuna Ground Control Station (GCS) Interface Overview</w:t>
      </w:r>
    </w:p>
    <w:p>
      <w:pPr>
        <w:spacing w:after="80" w:line="276" w:lineRule="auto"/>
      </w:pPr>
      <w:r>
        <w:rPr>
          <w:rFonts w:ascii="Arial" w:hAnsi="Arial"/>
          <w:color w:val="282828"/>
          <w:sz w:val="20"/>
        </w:rPr>
        <w:t>The graphical user interface represents an advanced flight and targeting workstation built with PyQt6:</w:t>
      </w:r>
    </w:p>
    <w:p>
      <w:pPr>
        <w:pStyle w:val="ListBullet"/>
        <w:spacing w:after="60" w:line="276" w:lineRule="auto"/>
      </w:pPr>
      <w:r>
        <w:rPr>
          <w:rFonts w:ascii="Arial" w:hAnsi="Arial"/>
          <w:b/>
          <w:color w:val="0F2A4A"/>
          <w:sz w:val="19"/>
        </w:rPr>
        <w:t xml:space="preserve">Live Feed HUD: </w:t>
      </w:r>
      <w:r>
        <w:rPr>
          <w:rFonts w:ascii="Arial" w:hAnsi="Arial"/>
          <w:color w:val="282828"/>
          <w:sz w:val="19"/>
        </w:rPr>
        <w:t>Real-time video feed displaying artificial horizon level line, dynamic lock reticle, lead prediction crosshairs, target bounding box, telemetry overlay (altitude, battery, distance, heading), and flight mode status.</w:t>
      </w:r>
    </w:p>
    <w:p>
      <w:pPr>
        <w:pStyle w:val="ListBullet"/>
        <w:spacing w:after="60" w:line="276" w:lineRule="auto"/>
      </w:pPr>
      <w:r>
        <w:rPr>
          <w:rFonts w:ascii="Arial" w:hAnsi="Arial"/>
          <w:b/>
          <w:color w:val="0F2A4A"/>
          <w:sz w:val="19"/>
        </w:rPr>
        <w:t xml:space="preserve">Target Database Page: </w:t>
      </w:r>
      <w:r>
        <w:rPr>
          <w:rFonts w:ascii="Arial" w:hAnsi="Arial"/>
          <w:color w:val="282828"/>
          <w:sz w:val="19"/>
        </w:rPr>
        <w:t>Visual library of tracked targets with confidence ratings, threat categorization, target dimension configuration, and engagement logs.</w:t>
      </w:r>
    </w:p>
    <w:p>
      <w:pPr>
        <w:pStyle w:val="ListBullet"/>
        <w:spacing w:after="60" w:line="276" w:lineRule="auto"/>
      </w:pPr>
      <w:r>
        <w:rPr>
          <w:rFonts w:ascii="Arial" w:hAnsi="Arial"/>
          <w:b/>
          <w:color w:val="0F2A4A"/>
          <w:sz w:val="19"/>
        </w:rPr>
        <w:t xml:space="preserve">Distance Calibration Wizard: </w:t>
      </w:r>
      <w:r>
        <w:rPr>
          <w:rFonts w:ascii="Arial" w:hAnsi="Arial"/>
          <w:color w:val="282828"/>
          <w:sz w:val="19"/>
        </w:rPr>
        <w:t>Interactive tool to calculate camera focal length (fx, fy) based on known object width/height at set physical distances, saving directly to calibration.json.</w:t>
      </w:r>
    </w:p>
    <w:p>
      <w:pPr>
        <w:pStyle w:val="ListBullet"/>
        <w:spacing w:after="60" w:line="276" w:lineRule="auto"/>
      </w:pPr>
      <w:r>
        <w:rPr>
          <w:rFonts w:ascii="Arial" w:hAnsi="Arial"/>
          <w:b/>
          <w:color w:val="0F2A4A"/>
          <w:sz w:val="19"/>
        </w:rPr>
        <w:t xml:space="preserve">PID Tuning &amp; Parameters Panel: </w:t>
      </w:r>
      <w:r>
        <w:rPr>
          <w:rFonts w:ascii="Arial" w:hAnsi="Arial"/>
          <w:color w:val="282828"/>
          <w:sz w:val="19"/>
        </w:rPr>
        <w:t>Live adjustment of proportional, integral, and derivative gains, deadband zones, lead compensation, and stick invert toggles with instant EEPROM/JSON sync.</w:t>
      </w:r>
    </w:p>
    <w:p>
      <w:pPr>
        <w:pStyle w:val="ListBullet"/>
        <w:spacing w:after="60" w:line="276" w:lineRule="auto"/>
      </w:pPr>
      <w:r>
        <w:rPr>
          <w:rFonts w:ascii="Arial" w:hAnsi="Arial"/>
          <w:b/>
          <w:color w:val="0F2A4A"/>
          <w:sz w:val="19"/>
        </w:rPr>
        <w:t xml:space="preserve">Joystick &amp; Hardware Controller Page: </w:t>
      </w:r>
      <w:r>
        <w:rPr>
          <w:rFonts w:ascii="Arial" w:hAnsi="Arial"/>
          <w:color w:val="282828"/>
          <w:sz w:val="19"/>
        </w:rPr>
        <w:t>Direct mapping of USB gamepads, RC transmitters (via USB VCP), button binds (Lock, Arm, Mode Toggle, Disarm), and dead-man safety overrides.</w:t>
      </w:r>
    </w:p>
    <w:p>
      <w:pPr>
        <w:pStyle w:val="ListBullet"/>
        <w:spacing w:after="60" w:line="276" w:lineRule="auto"/>
      </w:pPr>
      <w:r>
        <w:rPr>
          <w:rFonts w:ascii="Arial" w:hAnsi="Arial"/>
          <w:b/>
          <w:color w:val="0F2A4A"/>
          <w:sz w:val="19"/>
        </w:rPr>
        <w:t xml:space="preserve">System Logs &amp; Telemetry Page: </w:t>
      </w:r>
      <w:r>
        <w:rPr>
          <w:rFonts w:ascii="Arial" w:hAnsi="Arial"/>
          <w:color w:val="282828"/>
          <w:sz w:val="19"/>
        </w:rPr>
        <w:t>Categorized, searchable event logs (Drone, Vision, Safety, System) with exportable CSV/JSON telemetry recording.</w:t>
      </w:r>
    </w:p>
    <w:p>
      <w:pPr>
        <w:keepNext/>
        <w:spacing w:before="280" w:after="120"/>
      </w:pPr>
      <w:r>
        <w:rPr>
          <w:rFonts w:ascii="Arial" w:hAnsi="Arial"/>
          <w:b/>
          <w:color w:val="0F2A4A"/>
          <w:sz w:val="28"/>
        </w:rPr>
        <w:t>8. Verification Test Suites &amp; Diagnostic Utilities</w:t>
      </w:r>
    </w:p>
    <w:p>
      <w:pPr>
        <w:spacing w:after="80" w:line="276" w:lineRule="auto"/>
      </w:pPr>
      <w:r>
        <w:rPr>
          <w:rFonts w:ascii="Arial" w:hAnsi="Arial"/>
          <w:color w:val="282828"/>
          <w:sz w:val="20"/>
        </w:rPr>
        <w:t>A robust suite of automated validation scripts is included in the /scripts directory to verify hardware and software integrity prior to live flight:</w:t>
      </w:r>
    </w:p>
    <w:p>
      <w:pPr>
        <w:pStyle w:val="ListBullet"/>
        <w:spacing w:after="60" w:line="276" w:lineRule="auto"/>
      </w:pPr>
      <w:r>
        <w:rPr>
          <w:rFonts w:ascii="Arial" w:hAnsi="Arial"/>
          <w:b/>
          <w:color w:val="0F2A4A"/>
          <w:sz w:val="19"/>
        </w:rPr>
        <w:t xml:space="preserve">diagnose_system.py: </w:t>
      </w:r>
      <w:r>
        <w:rPr>
          <w:rFonts w:ascii="Arial" w:hAnsi="Arial"/>
          <w:color w:val="282828"/>
          <w:sz w:val="19"/>
        </w:rPr>
        <w:t>Inspects Python version, PyTorch CUDA capability, OpenCV backends, and serial port permissions.</w:t>
      </w:r>
    </w:p>
    <w:p>
      <w:pPr>
        <w:pStyle w:val="ListBullet"/>
        <w:spacing w:after="60" w:line="276" w:lineRule="auto"/>
      </w:pPr>
      <w:r>
        <w:rPr>
          <w:rFonts w:ascii="Arial" w:hAnsi="Arial"/>
          <w:b/>
          <w:color w:val="0F2A4A"/>
          <w:sz w:val="19"/>
        </w:rPr>
        <w:t xml:space="preserve">test_command_reception.py: </w:t>
      </w:r>
      <w:r>
        <w:rPr>
          <w:rFonts w:ascii="Arial" w:hAnsi="Arial"/>
          <w:color w:val="282828"/>
          <w:sz w:val="19"/>
        </w:rPr>
        <w:t>Validates bidirectional serial link and verifies that flight controllers respond to MSP / MAVLink commands.</w:t>
      </w:r>
    </w:p>
    <w:p>
      <w:pPr>
        <w:pStyle w:val="ListBullet"/>
        <w:spacing w:after="60" w:line="276" w:lineRule="auto"/>
      </w:pPr>
      <w:r>
        <w:rPr>
          <w:rFonts w:ascii="Arial" w:hAnsi="Arial"/>
          <w:b/>
          <w:color w:val="0F2A4A"/>
          <w:sz w:val="19"/>
        </w:rPr>
        <w:t xml:space="preserve">check_telemetry_and_arm.py: </w:t>
      </w:r>
      <w:r>
        <w:rPr>
          <w:rFonts w:ascii="Arial" w:hAnsi="Arial"/>
          <w:color w:val="282828"/>
          <w:sz w:val="19"/>
        </w:rPr>
        <w:t>Performs automated pre-arm telemetry checks, verifies sensor health, and monitors arm status.</w:t>
      </w:r>
    </w:p>
    <w:p>
      <w:pPr>
        <w:pStyle w:val="ListBullet"/>
        <w:spacing w:after="60" w:line="276" w:lineRule="auto"/>
      </w:pPr>
      <w:r>
        <w:rPr>
          <w:rFonts w:ascii="Arial" w:hAnsi="Arial"/>
          <w:b/>
          <w:color w:val="0F2A4A"/>
          <w:sz w:val="19"/>
        </w:rPr>
        <w:t xml:space="preserve">test_distance_pid_pipeline.py: </w:t>
      </w:r>
      <w:r>
        <w:rPr>
          <w:rFonts w:ascii="Arial" w:hAnsi="Arial"/>
          <w:color w:val="282828"/>
          <w:sz w:val="19"/>
        </w:rPr>
        <w:t>Simulates target trajectories to stress-test distance calculation and PID response under synthetic frame rates.</w:t>
      </w:r>
    </w:p>
    <w:p>
      <w:pPr>
        <w:pStyle w:val="ListBullet"/>
        <w:spacing w:after="60" w:line="276" w:lineRule="auto"/>
      </w:pPr>
      <w:r>
        <w:rPr>
          <w:rFonts w:ascii="Arial" w:hAnsi="Arial"/>
          <w:b/>
          <w:color w:val="0F2A4A"/>
          <w:sz w:val="19"/>
        </w:rPr>
        <w:t xml:space="preserve">test_live_distance_lock.py: </w:t>
      </w:r>
      <w:r>
        <w:rPr>
          <w:rFonts w:ascii="Arial" w:hAnsi="Arial"/>
          <w:color w:val="282828"/>
          <w:sz w:val="19"/>
        </w:rPr>
        <w:t>Bench test utility for verifying scale-aware tracking against physical objects in real-time.</w:t>
      </w:r>
    </w:p>
    <w:p>
      <w:pPr>
        <w:keepNext/>
        <w:spacing w:before="280" w:after="120"/>
      </w:pPr>
      <w:r>
        <w:rPr>
          <w:rFonts w:ascii="Arial" w:hAnsi="Arial"/>
          <w:b/>
          <w:color w:val="0F2A4A"/>
          <w:sz w:val="28"/>
        </w:rPr>
        <w:t>9. Conclusion &amp; Presentation Takeaways</w:t>
      </w:r>
    </w:p>
    <w:p>
      <w:pPr>
        <w:spacing w:after="80" w:line="276" w:lineRule="auto"/>
      </w:pPr>
      <w:r>
        <w:rPr>
          <w:rFonts w:ascii="Arial" w:hAnsi="Arial"/>
          <w:color w:val="282828"/>
          <w:sz w:val="20"/>
        </w:rPr>
        <w:t>The Interceptor AI Module has evolved into a production-ready, highly versatile autonomous targeting system. Key takeaways for project stakeholders and presentation include:</w:t>
      </w:r>
    </w:p>
    <w:p>
      <w:pPr>
        <w:pStyle w:val="ListBullet"/>
        <w:spacing w:after="60" w:line="276" w:lineRule="auto"/>
      </w:pPr>
      <w:r>
        <w:rPr>
          <w:rFonts w:ascii="Arial" w:hAnsi="Arial"/>
          <w:b/>
          <w:color w:val="0F2A4A"/>
          <w:sz w:val="19"/>
        </w:rPr>
        <w:t xml:space="preserve">Proven Hybrid AI Architecture: </w:t>
      </w:r>
      <w:r>
        <w:rPr>
          <w:rFonts w:ascii="Arial" w:hAnsi="Arial"/>
          <w:color w:val="282828"/>
          <w:sz w:val="19"/>
        </w:rPr>
        <w:t>Combines the accuracy of deep learning with the raw speed and low compute footprint of classical vision tracking.</w:t>
      </w:r>
    </w:p>
    <w:p>
      <w:pPr>
        <w:pStyle w:val="ListBullet"/>
        <w:spacing w:after="60" w:line="276" w:lineRule="auto"/>
      </w:pPr>
      <w:r>
        <w:rPr>
          <w:rFonts w:ascii="Arial" w:hAnsi="Arial"/>
          <w:b/>
          <w:color w:val="0F2A4A"/>
          <w:sz w:val="19"/>
        </w:rPr>
        <w:t xml:space="preserve">Demonstrated Edge Readiness: </w:t>
      </w:r>
      <w:r>
        <w:rPr>
          <w:rFonts w:ascii="Arial" w:hAnsi="Arial"/>
          <w:color w:val="282828"/>
          <w:sz w:val="19"/>
        </w:rPr>
        <w:t>Engineered specifically to overcome the compute, thermal, and memory limits of Radxa SBCs without compromising real-time tracking fidelity.</w:t>
      </w:r>
    </w:p>
    <w:p>
      <w:pPr>
        <w:pStyle w:val="ListBullet"/>
        <w:spacing w:after="60" w:line="276" w:lineRule="auto"/>
      </w:pPr>
      <w:r>
        <w:rPr>
          <w:rFonts w:ascii="Arial" w:hAnsi="Arial"/>
          <w:b/>
          <w:color w:val="0F2A4A"/>
          <w:sz w:val="19"/>
        </w:rPr>
        <w:t xml:space="preserve">Universal Flight Controller Compatibility: </w:t>
      </w:r>
      <w:r>
        <w:rPr>
          <w:rFonts w:ascii="Arial" w:hAnsi="Arial"/>
          <w:color w:val="282828"/>
          <w:sz w:val="19"/>
        </w:rPr>
        <w:t>Seamless interoperability with both INAV (MSP) and ArduPilot/PX4 (MAVLink) ecosystems.</w:t>
      </w:r>
    </w:p>
    <w:p>
      <w:pPr>
        <w:pStyle w:val="ListBullet"/>
        <w:spacing w:after="60" w:line="276" w:lineRule="auto"/>
      </w:pPr>
      <w:r>
        <w:rPr>
          <w:rFonts w:ascii="Arial" w:hAnsi="Arial"/>
          <w:b/>
          <w:color w:val="0F2A4A"/>
          <w:sz w:val="19"/>
        </w:rPr>
        <w:t xml:space="preserve">Enterprise-Grade Packaging: </w:t>
      </w:r>
      <w:r>
        <w:rPr>
          <w:rFonts w:ascii="Arial" w:hAnsi="Arial"/>
          <w:color w:val="282828"/>
          <w:sz w:val="19"/>
        </w:rPr>
        <w:t>Turnkey executable compilation and persistent user configuration system ready for field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