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7.png" ContentType="image/png"/>
  <Override PartName="/word/media/rId31.png" ContentType="image/png"/>
  <Override PartName="/word/media/rId36.png" ContentType="image/png"/>
  <Override PartName="/word/media/rId40.png" ContentType="image/png"/>
  <Override PartName="/word/media/rId45.png" ContentType="image/png"/>
  <Override PartName="/word/media/rId53.png" ContentType="image/png"/>
  <Override PartName="/word/media/rId58.png" ContentType="image/png"/>
  <Override PartName="/word/media/rId64.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f3"/>
      </w:pPr>
      <w:r>
        <w:rPr>
          <w:rFonts w:hint="eastAsia"/>
        </w:rPr>
        <w:t xml:space="preserve">Ｒ言語による京都系土師器皿研究</w:t>
      </w:r>
    </w:p>
    <w:p>
      <w:pPr>
        <w:pStyle w:val="Author"/>
      </w:pPr>
      <w:r>
        <w:rPr>
          <w:rFonts w:hint="eastAsia"/>
        </w:rPr>
        <w:t xml:space="preserve">松井</w:t>
      </w:r>
      <w:r>
        <w:t xml:space="preserve">　</w:t>
      </w:r>
      <w:r>
        <w:rPr>
          <w:rFonts w:hint="eastAsia"/>
        </w:rPr>
        <w:t xml:space="preserve">広信（富山県教育委員会）</w:t>
      </w:r>
    </w:p>
    <w:bookmarkStart w:id="26" w:name="はじめに"/>
    <w:p>
      <w:pPr>
        <w:pStyle w:val="10"/>
      </w:pPr>
      <w:r>
        <w:t xml:space="preserve">はじめに</w:t>
      </w:r>
    </w:p>
    <w:p>
      <w:pPr>
        <w:pStyle w:val="FirstParagraph"/>
      </w:pPr>
      <w:r>
        <w:rPr>
          <w:rFonts w:hint="eastAsia"/>
        </w:rPr>
        <w:t xml:space="preserve">Rは統計解析と可視化に広く利用されるオープンソースのプログラミング言語および環境であり、科学的再現性の確保に大きく寄与している。本稿では、このRを用いて京都系土師器皿の分析事例を紹介する。</w:t>
      </w:r>
    </w:p>
    <w:p>
      <w:pPr>
        <w:pStyle w:val="af5"/>
      </w:pPr>
      <w:r>
        <w:rPr>
          <w:rFonts w:hint="eastAsia"/>
        </w:rPr>
        <w:t xml:space="preserve">対象とする富山の中世土師器皿は、高梨</w:t>
      </w:r>
      <w:r>
        <w:rPr>
          <w:rFonts w:hint="eastAsia"/>
        </w:rPr>
        <w:t xml:space="preserve">（2006）</w:t>
      </w:r>
      <w:r>
        <w:rPr>
          <w:rFonts w:hint="eastAsia"/>
        </w:rPr>
        <w:t xml:space="preserve">、越前・高梨</w:t>
      </w:r>
      <w:r>
        <w:rPr>
          <w:rFonts w:hint="eastAsia"/>
        </w:rPr>
        <w:t xml:space="preserve">（2007）</w:t>
      </w:r>
      <w:r>
        <w:rPr>
          <w:rFonts w:hint="eastAsia"/>
        </w:rPr>
        <w:t xml:space="preserve">により型式が整理されている。本稿では、石名田木舟遺跡B2・C地区</w:t>
      </w:r>
      <w:r>
        <w:rPr>
          <w:rStyle w:val="aff4"/>
        </w:rPr>
        <w:footnoteReference w:id="20"/>
      </w:r>
      <w:r>
        <w:rPr>
          <w:rFonts w:hint="eastAsia"/>
        </w:rPr>
        <w:t xml:space="preserve">出土資料を新たに「TK」として設定した（表</w:t>
      </w:r>
      <w:r>
        <w:t xml:space="preserve">??</w:t>
      </w:r>
      <w:r>
        <w:rPr>
          <w:rFonts w:hint="eastAsia"/>
        </w:rPr>
        <w:t xml:space="preserve">）。これらの型式は、調整によって判別することが可能で、その対応関係は表</w:t>
      </w:r>
      <w:r>
        <w:t xml:space="preserve">0.2</w:t>
      </w:r>
      <w:r>
        <w:rPr>
          <w:rFonts w:hint="eastAsia"/>
        </w:rPr>
        <w:t xml:space="preserve">に示す。このうちRH・TI・TJが京都の影響を受けた在地型式として理解されるが（広義の京都系土師器皿）、本稿では岩瀬</w:t>
      </w:r>
      <w:r>
        <w:rPr>
          <w:rFonts w:hint="eastAsia"/>
        </w:rPr>
        <w:t xml:space="preserve">（2019）</w:t>
      </w:r>
      <w:r>
        <w:rPr>
          <w:rFonts w:hint="eastAsia"/>
        </w:rPr>
        <w:t xml:space="preserve">の石川県における定義</w:t>
      </w:r>
      <w:r>
        <w:rPr>
          <w:rStyle w:val="aff4"/>
        </w:rPr>
        <w:footnoteReference w:id="21"/>
      </w:r>
      <w:r>
        <w:rPr>
          <w:rFonts w:hint="eastAsia"/>
        </w:rPr>
        <w:t xml:space="preserve">を参考に、TIのみを京都系土師器皿として扱う。</w:t>
      </w:r>
    </w:p>
    <w:p>
      <w:pPr>
        <w:pStyle w:val="af5"/>
      </w:pPr>
      <w:r>
        <w:rPr>
          <w:rFonts w:hint="eastAsia"/>
        </w:rPr>
        <w:t xml:space="preserve">比較資料として用いる京都の土師器皿については、京都系土師器皿のモデルと考えられるS系列（S・Sb）</w:t>
      </w:r>
      <w:r>
        <w:rPr>
          <w:rStyle w:val="aff4"/>
        </w:rPr>
        <w:footnoteReference w:id="22"/>
      </w:r>
      <w:r>
        <w:rPr>
          <w:rFonts w:hint="eastAsia"/>
        </w:rPr>
        <w:t xml:space="preserve">のみを対象とする。資料の年代観は基本的に平尾</w:t>
      </w:r>
      <w:r>
        <w:rPr>
          <w:rFonts w:hint="eastAsia"/>
        </w:rPr>
        <w:t xml:space="preserve">（2019）</w:t>
      </w:r>
      <w:r>
        <w:rPr>
          <w:rFonts w:hint="eastAsia"/>
        </w:rPr>
        <w:t xml:space="preserve">に準拠するが、京都9B</w:t>
      </w:r>
      <w:r>
        <w:t xml:space="preserve"> </w:t>
      </w:r>
      <w:r>
        <w:rPr>
          <w:rFonts w:hint="eastAsia"/>
        </w:rPr>
        <w:t xml:space="preserve">段階には1447年の被災資料とされる史跡・名勝嵐山土壙170を追加している</w:t>
      </w:r>
      <w:r>
        <w:rPr>
          <w:rFonts w:hint="eastAsia"/>
        </w:rPr>
        <w:t xml:space="preserve">（森島2019）</w:t>
      </w:r>
      <w:r>
        <w:t xml:space="preserve">。</w:t>
      </w:r>
    </w:p>
    <w:p>
      <w:pPr>
        <w:pStyle w:val="af5"/>
      </w:pPr>
      <w:r>
        <w:rPr>
          <w:rFonts w:hint="eastAsia"/>
        </w:rPr>
        <w:t xml:space="preserve">なお、分析は既発表の研究</w:t>
      </w:r>
      <w:r>
        <w:rPr>
          <w:rFonts w:hint="eastAsia"/>
        </w:rPr>
        <w:t xml:space="preserve">（松井2019・</w:t>
      </w:r>
      <w:r>
        <w:t xml:space="preserve"> </w:t>
      </w:r>
      <w:r>
        <w:rPr>
          <w:rFonts w:hint="eastAsia"/>
        </w:rPr>
        <w:t xml:space="preserve">2022）</w:t>
      </w:r>
      <w:r>
        <w:rPr>
          <w:rFonts w:hint="eastAsia"/>
        </w:rPr>
        <w:t xml:space="preserve">を基礎とし、一部データを追加した。使用したコードは筆者のGitHubに公開予定である。対象遺跡は表</w:t>
      </w:r>
      <w:r>
        <w:t xml:space="preserve">0.3</w:t>
      </w:r>
      <w:r>
        <w:rPr>
          <w:rFonts w:hint="eastAsia"/>
        </w:rPr>
        <w:t xml:space="preserve">に示した。</w:t>
      </w:r>
    </w:p>
    <w:p>
      <w:pPr>
        <w:pStyle w:val="TableCaption"/>
      </w:pPr>
      <w:bookmarkStart w:id="23" w:name="tab:type1"/>
      <w:bookmarkEnd w:id="23"/>
      <w:r>
        <w:t xml:space="preserve">Table 0.1:</w:t>
      </w:r>
      <w:r>
        <w:t xml:space="preserve"> </w:t>
      </w:r>
      <w:r>
        <w:t xml:space="preserve">富山県の土師器皿の型式分類（越前・高梨2007にTKを追加）</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68"/>
        <w:gridCol w:w="7801"/>
        <w:gridCol w:w="829"/>
      </w:tblGrid>
      <w:tr>
        <w:trPr>
          <w:trHeight w:val="568" w:hRule="auto"/>
          <w:tblHeader/>
        </w:trPr>
        header1
        <w:tc>
          <w:tcPr>
            <w:tcBorders>
              <w:bottom w:val="single" w:sz="5"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iraginoSans-W3" w:hAnsi="HiraginoSans-W3" w:eastAsia="HiraginoSans-W3" w:cs="HiraginoSans-W3"/>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true"/>
                <w:u w:val="none"/>
                <w:sz w:val="20"/>
                <w:szCs w:val="20"/>
                <w:color w:val="000000"/>
              </w:rPr>
              <w:t xml:space="preserve">型式分類</w:t>
            </w:r>
          </w:p>
        </w:tc>
        <w:tc>
          <w:tcPr>
            <w:tcBorders>
              <w:bottom w:val="single" w:sz="5"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iraginoSans-W3" w:hAnsi="HiraginoSans-W3" w:eastAsia="HiraginoSans-W3" w:cs="HiraginoSans-W3"/>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true"/>
                <w:u w:val="none"/>
                <w:sz w:val="20"/>
                <w:szCs w:val="20"/>
                <w:color w:val="000000"/>
              </w:rPr>
              <w:t xml:space="preserve">特徴</w:t>
            </w:r>
          </w:p>
        </w:tc>
        <w:tc>
          <w:tcPr>
            <w:tcBorders>
              <w:bottom w:val="single" w:sz="5"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iraginoSans-W3" w:hAnsi="HiraginoSans-W3" w:eastAsia="HiraginoSans-W3" w:cs="HiraginoSans-W3"/>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true"/>
                <w:u w:val="none"/>
                <w:sz w:val="20"/>
                <w:szCs w:val="20"/>
                <w:color w:val="000000"/>
              </w:rPr>
              <w:t xml:space="preserve">実測図</w:t>
            </w:r>
          </w:p>
        </w:tc>
      </w:tr>
      <w:tr>
        <w:trPr>
          <w:trHeight w:val="568" w:hRule="auto"/>
        </w:trPr>
        body1
        <w:tc>
          <w:tcPr>
            <w:tcBorders>
              <w:bottom w:val="single" w:sz="2"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true"/>
                <w:u w:val="none"/>
                <w:sz w:val="16"/>
                <w:szCs w:val="16"/>
                <w:color w:val="000000"/>
              </w:rPr>
              <w:t xml:space="preserve">RF</w:t>
            </w:r>
          </w:p>
        </w:tc>
        <w:tc>
          <w:tcPr>
            <w:tcBorders>
              <w:bottom w:val="single" w:sz="2"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口径に対する底径の比率が大きく、体部はやや外反し、口縁部は上方へつまみ先細りする。</w:t>
            </w:r>
          </w:p>
        </w:tc>
        <w:tc>
          <w:tcPr>
            <w:tcBorders>
              <w:bottom w:val="single" w:sz="2"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
            </w:r>
          </w:p>
        </w:tc>
      </w:tr>
      <w:tr>
        <w:trPr>
          <w:trHeight w:val="568" w:hRule="auto"/>
        </w:trPr>
        body2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true"/>
                <w:u w:val="none"/>
                <w:sz w:val="16"/>
                <w:szCs w:val="16"/>
                <w:color w:val="000000"/>
              </w:rPr>
              <w:t xml:space="preserve">RH</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ロクロ成形の底部をへらで削り丸底風に仕上げる。体部は直線的に延び口縁部が外反し端部を丸く納める。</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
            </w:r>
          </w:p>
        </w:tc>
      </w:tr>
      <w:tr>
        <w:trPr>
          <w:trHeight w:val="568" w:hRule="auto"/>
        </w:trPr>
        body3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true"/>
                <w:u w:val="none"/>
                <w:sz w:val="16"/>
                <w:szCs w:val="16"/>
                <w:color w:val="000000"/>
              </w:rPr>
              <w:t xml:space="preserve">RI</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焼成は堅緻で、体部は直線的に延び端部を丸く納める。</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
            </w:r>
          </w:p>
        </w:tc>
      </w:tr>
      <w:tr>
        <w:trPr>
          <w:trHeight w:val="568" w:hRule="auto"/>
        </w:trPr>
        body4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true"/>
                <w:u w:val="none"/>
                <w:sz w:val="16"/>
                <w:szCs w:val="16"/>
                <w:color w:val="000000"/>
              </w:rPr>
              <w:t xml:space="preserve">TD</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平底で、口縁部を一段ナデ。</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
            </w:r>
          </w:p>
        </w:tc>
      </w:tr>
      <w:tr>
        <w:trPr>
          <w:trHeight w:val="577" w:hRule="auto"/>
        </w:trPr>
        body5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true"/>
                <w:u w:val="none"/>
                <w:sz w:val="16"/>
                <w:szCs w:val="16"/>
                <w:color w:val="000000"/>
              </w:rPr>
              <w:t xml:space="preserve">TG</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丸底気味の底部から体部が内湾し口縁部は短く外傾する。端部は鋭く納めるものと丸く納めるものが見られる。</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
            </w:r>
          </w:p>
        </w:tc>
      </w:tr>
      <w:tr>
        <w:trPr>
          <w:trHeight w:val="568" w:hRule="auto"/>
        </w:trPr>
        body6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true"/>
                <w:u w:val="none"/>
                <w:sz w:val="16"/>
                <w:szCs w:val="16"/>
                <w:color w:val="000000"/>
              </w:rPr>
              <w:t xml:space="preserve">TH</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口縁が短く垂直から外反する。端部は丸く納める。丸底と平底が見られる。</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
            </w:r>
          </w:p>
        </w:tc>
      </w:tr>
      <w:tr>
        <w:trPr>
          <w:trHeight w:val="568" w:hRule="auto"/>
        </w:trPr>
        body7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true"/>
                <w:u w:val="none"/>
                <w:sz w:val="16"/>
                <w:szCs w:val="16"/>
                <w:color w:val="000000"/>
              </w:rPr>
              <w:t xml:space="preserve">TI</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平底で口縁部が外反し端部を内に肥大させながら外反する。丸底と平底が見られ、法量は大中小の３種類ある。</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
            </w:r>
          </w:p>
        </w:tc>
      </w:tr>
      <w:tr>
        <w:trPr>
          <w:trHeight w:val="573" w:hRule="auto"/>
        </w:trPr>
        body8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true"/>
                <w:u w:val="none"/>
                <w:sz w:val="16"/>
                <w:szCs w:val="16"/>
                <w:color w:val="000000"/>
              </w:rPr>
              <w:t xml:space="preserve">TJ</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丸底から体部が内湾気味に立ち上がり端部を外反気味につまみ出す。丸底と平底が見られ、法量は大小の２種類ある。</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
            </w:r>
          </w:p>
        </w:tc>
      </w:tr>
      <w:tr>
        <w:trPr>
          <w:trHeight w:val="568" w:hRule="auto"/>
        </w:trPr>
        body9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true"/>
                <w:u w:val="none"/>
                <w:sz w:val="16"/>
                <w:szCs w:val="16"/>
                <w:color w:val="000000"/>
              </w:rPr>
              <w:t xml:space="preserve">TK</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丸底と平底があり、底部から体部は緩やかに内湾する。口縁端部はつまみ出し、面を持つものもある。</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
            </w:r>
          </w:p>
        </w:tc>
      </w:tr>
    </w:tbl>
    <w:p>
      <w:pPr>
        <w:pStyle w:val="TableCaption"/>
      </w:pPr>
      <w:bookmarkStart w:id="24" w:name="tab:type-smooth"/>
      <w:bookmarkEnd w:id="24"/>
      <w:r>
        <w:t xml:space="preserve">Table 0.2:</w:t>
      </w:r>
      <w:r>
        <w:t xml:space="preserve"> </w:t>
      </w:r>
      <w:r>
        <w:t xml:space="preserve">型式と主な出土地、調整の関係表</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692"/>
        <w:gridCol w:w="1712"/>
        <w:gridCol w:w="968"/>
        <w:gridCol w:w="4958"/>
      </w:tblGrid>
      <w:tr>
        <w:trPr>
          <w:trHeight w:val="568" w:hRule="auto"/>
          <w:tblHeader/>
        </w:trPr>
        header 1
        <w:tc>
          <w:tcPr>
            <w:tcBorders>
              <w:bottom w:val="single" w:sz="5"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iraginoSans-W3" w:hAnsi="HiraginoSans-W3" w:eastAsia="HiraginoSans-W3" w:cs="HiraginoSans-W3"/>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true"/>
                <w:u w:val="none"/>
                <w:sz w:val="20"/>
                <w:szCs w:val="20"/>
                <w:color w:val="000000"/>
              </w:rPr>
              <w:t xml:space="preserve">型式</w:t>
            </w:r>
          </w:p>
        </w:tc>
        <w:tc>
          <w:tcPr>
            <w:tcBorders>
              <w:bottom w:val="single" w:sz="5"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iraginoSans-W3" w:hAnsi="HiraginoSans-W3" w:eastAsia="HiraginoSans-W3" w:cs="HiraginoSans-W3"/>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true"/>
                <w:u w:val="none"/>
                <w:sz w:val="20"/>
                <w:szCs w:val="20"/>
                <w:color w:val="000000"/>
              </w:rPr>
              <w:t xml:space="preserve">主な出土地</w:t>
            </w:r>
          </w:p>
        </w:tc>
        <w:tc>
          <w:tcPr>
            <w:tcBorders>
              <w:bottom w:val="single" w:sz="5"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iraginoSans-W3" w:hAnsi="HiraginoSans-W3" w:eastAsia="HiraginoSans-W3" w:cs="HiraginoSans-W3"/>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true"/>
                <w:u w:val="none"/>
                <w:sz w:val="20"/>
                <w:szCs w:val="20"/>
                <w:color w:val="000000"/>
              </w:rPr>
              <w:t xml:space="preserve">サイズ</w:t>
            </w:r>
          </w:p>
        </w:tc>
        <w:tc>
          <w:tcPr>
            <w:tcBorders>
              <w:bottom w:val="single" w:sz="5"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iraginoSans-W3" w:hAnsi="HiraginoSans-W3" w:eastAsia="HiraginoSans-W3" w:cs="HiraginoSans-W3"/>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true"/>
                <w:u w:val="none"/>
                <w:sz w:val="20"/>
                <w:szCs w:val="20"/>
                <w:color w:val="000000"/>
              </w:rPr>
              <w:t xml:space="preserve">調整</w:t>
            </w:r>
          </w:p>
        </w:tc>
      </w:tr>
      <w:tr>
        <w:trPr>
          <w:trHeight w:val="735" w:hRule="auto"/>
        </w:trPr>
        body 1
        <w:tc>
          <w:tcPr>
            <w:vMerge w:val="restart"/>
            <w:tcBorders>
              <w:bottom w:val="single" w:sz="2"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true"/>
                <w:u w:val="none"/>
                <w:sz w:val="16"/>
                <w:szCs w:val="16"/>
                <w:color w:val="000000"/>
              </w:rPr>
              <w:t xml:space="preserve">TI</w:t>
            </w:r>
          </w:p>
        </w:tc>
        <w:tc>
          <w:tcPr>
            <w:vMerge w:val="restart"/>
            <w:tcBorders>
              <w:bottom w:val="single" w:sz="2"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石名田木舟遺跡</w:t>
            </w: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F3-SD7003</w:t>
            </w:r>
          </w:p>
        </w:tc>
        <w:tc>
          <w:tcPr>
            <w:tcBorders>
              <w:bottom w:val="single" w:sz="2"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小型品</w:t>
            </w:r>
          </w:p>
        </w:tc>
        <w:tc>
          <w:tcPr>
            <w:tcBorders>
              <w:bottom w:val="single" w:sz="2"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体部：の字ナデ、見込：指ナデ、口縁部：横ナデ</w:t>
            </w:r>
          </w:p>
        </w:tc>
      </w:tr>
      <w:tr>
        <w:trPr>
          <w:trHeight w:val="735" w:hRule="auto"/>
        </w:trPr>
        body 2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true"/>
                <w:u w:val="none"/>
                <w:sz w:val="16"/>
                <w:szCs w:val="16"/>
                <w:color w:val="000000"/>
              </w:rPr>
            </w:pPr>
          </w:p>
        </w:tc>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中大型品</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見込：一方向ナデ、体部：２字ナデ、口縁部：横ナデ</w:t>
            </w:r>
          </w:p>
        </w:tc>
      </w:tr>
      <w:tr>
        <w:trPr>
          <w:trHeight w:val="735" w:hRule="auto"/>
        </w:trPr>
        body 3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true"/>
                <w:u w:val="none"/>
                <w:sz w:val="16"/>
                <w:szCs w:val="16"/>
                <w:color w:val="000000"/>
              </w:rPr>
            </w:pPr>
          </w:p>
        </w:tc>
        <w:tc>
          <w:tcPr>
            <w:vMerge w:val="restart"/>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石名田木舟遺跡</w:t>
            </w: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F3-SD7030</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小型品</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体部：２字ナデ、見込：指ナデ、口縁部：横ナデ</w:t>
            </w:r>
          </w:p>
        </w:tc>
      </w:tr>
      <w:tr>
        <w:trPr>
          <w:trHeight w:val="735" w:hRule="auto"/>
        </w:trPr>
        body 4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true"/>
                <w:u w:val="none"/>
                <w:sz w:val="16"/>
                <w:szCs w:val="16"/>
                <w:color w:val="000000"/>
              </w:rPr>
            </w:pPr>
          </w:p>
        </w:tc>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中大型品</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見込：一方向ナデ、体部：２字ナデ、口縁部：横ナデ</w:t>
            </w:r>
          </w:p>
        </w:tc>
      </w:tr>
      <w:tr>
        <w:trPr>
          <w:trHeight w:val="902" w:hRule="auto"/>
        </w:trPr>
        body 5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true"/>
                <w:u w:val="none"/>
                <w:sz w:val="16"/>
                <w:szCs w:val="16"/>
                <w:color w:val="000000"/>
              </w:rPr>
            </w:pPr>
          </w:p>
        </w:tc>
        <w:tc>
          <w:tcPr>
            <w:vMerge w:val="restart"/>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富山城跡</w:t>
            </w: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RS2-SK705・</w:t>
            </w: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RS3-SD54</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小型品</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体部：の字ナデ、口縁部：横ナデ　*見込：無調整</w:t>
            </w:r>
          </w:p>
        </w:tc>
      </w:tr>
      <w:tr>
        <w:trPr>
          <w:trHeight w:val="902" w:hRule="auto"/>
        </w:trPr>
        body 6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true"/>
                <w:u w:val="none"/>
                <w:sz w:val="16"/>
                <w:szCs w:val="16"/>
                <w:color w:val="000000"/>
              </w:rPr>
            </w:pPr>
          </w:p>
        </w:tc>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中大型品</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体部：２字ナデ、口縁部：横ナデ　*見込：無調整</w:t>
            </w:r>
          </w:p>
        </w:tc>
      </w:tr>
      <w:tr>
        <w:trPr>
          <w:trHeight w:val="573" w:hRule="auto"/>
        </w:trPr>
        body 7
        <w:tc>
          <w:tcPr>
            <w:vMerge w:val="restart"/>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true"/>
                <w:u w:val="none"/>
                <w:sz w:val="16"/>
                <w:szCs w:val="16"/>
                <w:color w:val="000000"/>
              </w:rPr>
              <w:t xml:space="preserve">TJ</w:t>
            </w:r>
          </w:p>
        </w:tc>
        <w:tc>
          <w:tcPr>
            <w:vMerge w:val="restart"/>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仏生寺城跡</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小型品</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見込：一方向ナデ、体部・口縁部：の字ナデ</w:t>
            </w:r>
          </w:p>
        </w:tc>
      </w:tr>
      <w:tr>
        <w:trPr>
          <w:trHeight w:val="726" w:hRule="auto"/>
        </w:trPr>
        body 8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true"/>
                <w:u w:val="none"/>
                <w:sz w:val="16"/>
                <w:szCs w:val="16"/>
                <w:color w:val="000000"/>
              </w:rPr>
            </w:pPr>
          </w:p>
        </w:tc>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中大型品</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見込・体部：一方向ナデ（斜方向ナデが先行する場合もある）、</w:t>
            </w: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口縁部：の字ナデ</w:t>
            </w:r>
          </w:p>
        </w:tc>
      </w:tr>
      <w:tr>
        <w:trPr>
          <w:trHeight w:val="573" w:hRule="auto"/>
        </w:trPr>
        body 9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true"/>
                <w:u w:val="none"/>
                <w:sz w:val="16"/>
                <w:szCs w:val="16"/>
                <w:color w:val="000000"/>
              </w:rPr>
            </w:pPr>
          </w:p>
        </w:tc>
        <w:tc>
          <w:tcPr>
            <w:vMerge w:val="restart"/>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新庄城跡</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小型品</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不明</w:t>
            </w:r>
          </w:p>
        </w:tc>
      </w:tr>
      <w:tr>
        <w:trPr>
          <w:trHeight w:val="573" w:hRule="auto"/>
        </w:trPr>
        body10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true"/>
                <w:u w:val="none"/>
                <w:sz w:val="16"/>
                <w:szCs w:val="16"/>
                <w:color w:val="000000"/>
              </w:rPr>
            </w:pPr>
          </w:p>
        </w:tc>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中大型品</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見込：一方向ナデ（狭）、（体部：横ナデ）、口縁部：の字ナデ</w:t>
            </w:r>
          </w:p>
        </w:tc>
      </w:tr>
      <w:tr>
        <w:trPr>
          <w:trHeight w:val="735" w:hRule="auto"/>
        </w:trPr>
        body11
        <w:tc>
          <w:tcPr>
            <w:vMerge w:val="restart"/>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true"/>
                <w:u w:val="none"/>
                <w:sz w:val="16"/>
                <w:szCs w:val="16"/>
                <w:color w:val="000000"/>
              </w:rPr>
              <w:t xml:space="preserve">TK</w:t>
            </w:r>
          </w:p>
        </w:tc>
        <w:tc>
          <w:tcPr>
            <w:vMerge w:val="restart"/>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石名田木舟遺跡</w:t>
            </w: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B2・C地区</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小型品</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見込：体部：Ｄ字ナデ、見込：指ナデ、口縁部：横ナデ　*布目圧痕あり</w:t>
            </w:r>
          </w:p>
        </w:tc>
      </w:tr>
      <w:tr>
        <w:trPr>
          <w:trHeight w:val="735" w:hRule="auto"/>
        </w:trPr>
        body12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true"/>
                <w:u w:val="none"/>
                <w:sz w:val="16"/>
                <w:szCs w:val="16"/>
                <w:color w:val="000000"/>
              </w:rPr>
            </w:pPr>
          </w:p>
        </w:tc>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中大型品</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見込：一方向ナデ、体部：Ｄ字ナデ、口縁部：横ナデ　*布目圧痕あり</w:t>
            </w:r>
          </w:p>
        </w:tc>
      </w:tr>
    </w:tbl>
    <w:p>
      <w:pPr>
        <w:pStyle w:val="TableCaption"/>
      </w:pPr>
      <w:bookmarkStart w:id="25" w:name="tab:site-list"/>
      <w:bookmarkEnd w:id="25"/>
      <w:r>
        <w:t xml:space="preserve">Table 0.3:</w:t>
      </w:r>
      <w:r>
        <w:t xml:space="preserve"> </w:t>
      </w:r>
      <w:r>
        <w:t xml:space="preserve">分析対象とした遺跡の一覧表</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968"/>
        <w:gridCol w:w="3478"/>
        <w:gridCol w:w="1572"/>
        <w:gridCol w:w="2957"/>
      </w:tblGrid>
      <w:tr>
        <w:trPr>
          <w:trHeight w:val="568" w:hRule="auto"/>
          <w:tblHeader/>
        </w:trPr>
        header 1
        <w:tc>
          <w:tcPr>
            <w:tcBorders>
              <w:bottom w:val="single" w:sz="5"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iraginoSans-W3" w:hAnsi="HiraginoSans-W3" w:eastAsia="HiraginoSans-W3" w:cs="HiraginoSans-W3"/>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true"/>
                <w:u w:val="none"/>
                <w:sz w:val="20"/>
                <w:szCs w:val="20"/>
                <w:color w:val="000000"/>
              </w:rPr>
              <w:t xml:space="preserve">所在地</w:t>
            </w:r>
          </w:p>
        </w:tc>
        <w:tc>
          <w:tcPr>
            <w:tcBorders>
              <w:bottom w:val="single" w:sz="5"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iraginoSans-W3" w:hAnsi="HiraginoSans-W3" w:eastAsia="HiraginoSans-W3" w:cs="HiraginoSans-W3"/>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true"/>
                <w:u w:val="none"/>
                <w:sz w:val="20"/>
                <w:szCs w:val="20"/>
                <w:color w:val="000000"/>
              </w:rPr>
              <w:t xml:space="preserve">遺跡</w:t>
            </w:r>
          </w:p>
        </w:tc>
        <w:tc>
          <w:tcPr>
            <w:tcBorders>
              <w:bottom w:val="single" w:sz="5"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iraginoSans-W3" w:hAnsi="HiraginoSans-W3" w:eastAsia="HiraginoSans-W3" w:cs="HiraginoSans-W3"/>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true"/>
                <w:u w:val="none"/>
                <w:sz w:val="20"/>
                <w:szCs w:val="20"/>
                <w:color w:val="000000"/>
              </w:rPr>
              <w:t xml:space="preserve">遺構</w:t>
            </w:r>
          </w:p>
        </w:tc>
        <w:tc>
          <w:tcPr>
            <w:tcBorders>
              <w:bottom w:val="single" w:sz="5"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iraginoSans-W3" w:hAnsi="HiraginoSans-W3" w:eastAsia="HiraginoSans-W3" w:cs="HiraginoSans-W3"/>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true"/>
                <w:u w:val="none"/>
                <w:sz w:val="20"/>
                <w:szCs w:val="20"/>
                <w:color w:val="000000"/>
              </w:rPr>
              <w:t xml:space="preserve">時期</w:t>
            </w:r>
          </w:p>
        </w:tc>
      </w:tr>
      <w:tr>
        <w:trPr>
          <w:trHeight w:val="726" w:hRule="auto"/>
        </w:trPr>
        body 1
        <w:tc>
          <w:tcPr>
            <w:vMerge w:val="restart"/>
            <w:tcBorders>
              <w:bottom w:val="single" w:sz="2"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高岡市</w:t>
            </w: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小矢部市</w:t>
            </w:r>
          </w:p>
        </w:tc>
        <w:tc>
          <w:tcPr>
            <w:vMerge w:val="restart"/>
            <w:tcBorders>
              <w:bottom w:val="single" w:sz="2"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石名田木舟遺跡</w:t>
            </w:r>
          </w:p>
        </w:tc>
        <w:tc>
          <w:tcPr>
            <w:tcBorders>
              <w:bottom w:val="single" w:sz="2"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F3-SD7003</w:t>
            </w:r>
          </w:p>
        </w:tc>
        <w:tc>
          <w:tcPr>
            <w:tcBorders>
              <w:bottom w:val="single" w:sz="2"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15C後半（SD7030より新しい）</w:t>
            </w:r>
          </w:p>
        </w:tc>
      </w:tr>
      <w:tr>
        <w:trPr>
          <w:trHeight w:val="726" w:hRule="auto"/>
        </w:trPr>
        body 2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F3-SD7030</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15C後半（1488年銘木簡）</w:t>
            </w:r>
          </w:p>
        </w:tc>
      </w:tr>
      <w:tr>
        <w:trPr>
          <w:trHeight w:val="726" w:hRule="auto"/>
        </w:trPr>
        body 3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B2・C地区</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16世紀中頃〜後半（1583年銘鰐口）</w:t>
            </w:r>
          </w:p>
        </w:tc>
      </w:tr>
      <w:tr>
        <w:trPr>
          <w:trHeight w:val="577" w:hRule="auto"/>
        </w:trPr>
        body 4
        <w:tc>
          <w:tcPr>
            <w:vMerge w:val="restart"/>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富山市</w:t>
            </w:r>
          </w:p>
        </w:tc>
        <w:tc>
          <w:tcPr>
            <w:vMerge w:val="restart"/>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富山城跡</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RS2-SK705</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16C前半（松井2019）</w:t>
            </w:r>
          </w:p>
        </w:tc>
      </w:tr>
      <w:tr>
        <w:trPr>
          <w:trHeight w:val="577" w:hRule="auto"/>
        </w:trPr>
        body 5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RS3-SD54</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16C中頃（松井2019）</w:t>
            </w:r>
          </w:p>
        </w:tc>
      </w:tr>
      <w:tr>
        <w:trPr>
          <w:trHeight w:val="577" w:hRule="auto"/>
        </w:trPr>
        body 6
        <w:tc>
          <w:tcPr>
            <w:vMerge w:val="restart"/>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京都市</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平安京左京三条四坊七町跡</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SK415</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京都9C（15C後）</w:t>
            </w:r>
          </w:p>
        </w:tc>
      </w:tr>
      <w:tr>
        <w:trPr>
          <w:trHeight w:val="577" w:hRule="auto"/>
        </w:trPr>
        body 7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vMerge w:val="restart"/>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平安京左京四条二坊十四町跡</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SE0922</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京都9C（15C後）</w:t>
            </w:r>
          </w:p>
        </w:tc>
      </w:tr>
      <w:tr>
        <w:trPr>
          <w:trHeight w:val="577" w:hRule="auto"/>
        </w:trPr>
        body 8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SK2185</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京都10A（16C前）</w:t>
            </w:r>
          </w:p>
        </w:tc>
      </w:tr>
      <w:tr>
        <w:trPr>
          <w:trHeight w:val="577" w:hRule="auto"/>
        </w:trPr>
        body 9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SK0366</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京都9B（15C中）</w:t>
            </w:r>
          </w:p>
        </w:tc>
      </w:tr>
      <w:tr>
        <w:trPr>
          <w:trHeight w:val="577" w:hRule="auto"/>
        </w:trPr>
        body10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平安京左京四条三坊九町跡</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SK144B</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京都10A（16C前）</w:t>
            </w:r>
          </w:p>
        </w:tc>
      </w:tr>
      <w:tr>
        <w:trPr>
          <w:trHeight w:val="577" w:hRule="auto"/>
        </w:trPr>
        body11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vMerge w:val="restart"/>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平安京左京四条三坊十二町跡</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SK145</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京都9B（15C中）</w:t>
            </w:r>
          </w:p>
        </w:tc>
      </w:tr>
      <w:tr>
        <w:trPr>
          <w:trHeight w:val="577" w:hRule="auto"/>
        </w:trPr>
        body12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SK769</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京都9B（15C中）</w:t>
            </w:r>
          </w:p>
        </w:tc>
      </w:tr>
      <w:tr>
        <w:trPr>
          <w:trHeight w:val="577" w:hRule="auto"/>
        </w:trPr>
        body13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平安京左京四条三坊十三町跡</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溝5下層</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京都10B（16C中）</w:t>
            </w:r>
          </w:p>
        </w:tc>
      </w:tr>
      <w:tr>
        <w:trPr>
          <w:trHeight w:val="577" w:hRule="auto"/>
        </w:trPr>
        body14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平安京左京五条三坊六町跡</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SK499</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京都10A（16C前）</w:t>
            </w:r>
          </w:p>
        </w:tc>
      </w:tr>
      <w:tr>
        <w:trPr>
          <w:trHeight w:val="577" w:hRule="auto"/>
        </w:trPr>
        body15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平安京左京五条三坊九町跡</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SK8-18</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京都10B（16C中）</w:t>
            </w:r>
          </w:p>
        </w:tc>
      </w:tr>
      <w:tr>
        <w:trPr>
          <w:trHeight w:val="577" w:hRule="auto"/>
        </w:trPr>
        body16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平安京左京五条三坊十町跡</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土坑170</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京都9C（1493年頃）</w:t>
            </w:r>
          </w:p>
        </w:tc>
      </w:tr>
      <w:tr>
        <w:trPr>
          <w:trHeight w:val="577" w:hRule="auto"/>
        </w:trPr>
        body17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平安京左京六条二坊五町跡・猪熊殿跡・本圀寺跡</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SD166上層</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京都10B（1536年頃）</w:t>
            </w:r>
          </w:p>
        </w:tc>
      </w:tr>
      <w:tr>
        <w:trPr>
          <w:trHeight w:val="573" w:hRule="auto"/>
        </w:trPr>
        body18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史跡・名勝嵐山</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土壙170</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京都9B（1447年頃）</w:t>
            </w:r>
          </w:p>
        </w:tc>
      </w:tr>
      <w:tr>
        <w:trPr>
          <w:trHeight w:val="573" w:hRule="auto"/>
        </w:trPr>
        body19
        <w:tc>
          <w:tcPr>
            <w:vMerge/>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山科本願寺跡</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土坑2134</w:t>
            </w:r>
          </w:p>
        </w:tc>
        <w:tc>
          <w:tcPr>
            <w:tcBorders>
              <w:bottom w:val="single" w:sz="2" w:space="0" w:color="000000"/>
              <w:top w:val="single" w:sz="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88"/>
              <w:ind w:left="100" w:right="100" w:firstLine="0" w:firstLineChars="0"/>
              <w:rPr>
                <w:rFonts w:ascii="HiraginoSans-W3" w:hAnsi="HiraginoSans-W3" w:eastAsia="HiraginoSans-W3" w:cs="HiraginoSans-W3"/>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iraginoSans-W3" w:hAnsi="HiraginoSans-W3" w:eastAsia="HiraginoSans-W3" w:cs="HiraginoSans-W3"/>
                <w:i w:val="false"/>
                <w:b w:val="false"/>
                <w:u w:val="none"/>
                <w:sz w:val="16"/>
                <w:szCs w:val="16"/>
                <w:color w:val="000000"/>
              </w:rPr>
              <w:t xml:space="preserve">京都10A（1532年頃）</w:t>
            </w:r>
          </w:p>
        </w:tc>
      </w:tr>
    </w:tbl>
    <w:bookmarkEnd w:id="26"/>
    <w:bookmarkStart w:id="69" w:name="ｒ言語による京都系土師器皿研究"/>
    <w:p>
      <w:pPr>
        <w:pStyle w:val="10"/>
      </w:pPr>
      <w:r>
        <w:rPr>
          <w:rStyle w:val="SectionNumber"/>
        </w:rPr>
        <w:t xml:space="preserve">1</w:t>
      </w:r>
      <w:r>
        <w:tab/>
      </w:r>
      <w:r>
        <w:rPr>
          <w:rFonts w:hint="eastAsia"/>
        </w:rPr>
        <w:t xml:space="preserve">Ｒ言語による京都系土師器皿研究</w:t>
      </w:r>
    </w:p>
    <w:bookmarkStart w:id="50" w:name="幾何学的形態測定学"/>
    <w:p>
      <w:pPr>
        <w:pStyle w:val="20"/>
      </w:pPr>
      <w:r>
        <w:rPr>
          <w:rFonts w:hint="eastAsia"/>
        </w:rPr>
        <w:t xml:space="preserve">幾何学的形態測定学</w:t>
      </w:r>
    </w:p>
    <w:p>
      <w:pPr>
        <w:pStyle w:val="FirstParagraph"/>
      </w:pPr>
      <w:r>
        <w:rPr>
          <w:rFonts w:hint="eastAsia"/>
        </w:rPr>
        <w:t xml:space="preserve">「形態測定学」（morphometrics）は資料を計測して定量的に比較する方法で、大きく2つの系譜がある。一つは「伝統的形態測定学」（traditional</w:t>
      </w:r>
      <w:r>
        <w:t xml:space="preserve"> </w:t>
      </w:r>
      <w:r>
        <w:rPr>
          <w:rFonts w:hint="eastAsia"/>
        </w:rPr>
        <w:t xml:space="preserve">morphometrics）であり、考古学においては土器の器高や立ち上がりの角度、石器の長さや幅といった距離や角度の計測値を用いて、分析する方法である。他方は「幾何学的形態測定学」（geometric</w:t>
      </w:r>
      <w:r>
        <w:t xml:space="preserve"> </w:t>
      </w:r>
      <w:r>
        <w:t xml:space="preserve">morphometrics,</w:t>
      </w:r>
      <w:r>
        <w:t xml:space="preserve"> </w:t>
      </w:r>
      <w:r>
        <w:rPr>
          <w:rFonts w:hint="eastAsia"/>
        </w:rPr>
        <w:t xml:space="preserve">GMM）であり、標識点（landmarks）や輪郭（outlines）を用い、それらの幾何学的属性を保持したまま分析する点に特色がある。GMMの利点は従来の方法に比べ、形の情報を損なわずに定量化できることにある。</w:t>
      </w:r>
    </w:p>
    <w:p>
      <w:pPr>
        <w:pStyle w:val="af5"/>
      </w:pPr>
      <w:r>
        <w:rPr>
          <w:rFonts w:hint="eastAsia"/>
        </w:rPr>
        <w:t xml:space="preserve">GMMでは「形態」（form）と「形状」（shape）を区別する。位置や回転（向き）によって変化しない幾何学的属性を「形態」と呼び、そのうちサイズ（大きさ）の違いを数学的に処理したものを「形状」と定義する（図</w:t>
      </w:r>
      <w:r>
        <w:t xml:space="preserve">1.1</w:t>
      </w:r>
      <w:r>
        <w:rPr>
          <w:rFonts w:hint="eastAsia"/>
        </w:rPr>
        <w:t xml:space="preserve">）。GMMでは、この「形状」を分析対象とする。</w:t>
      </w:r>
    </w:p>
    <w:p>
      <w:pPr>
        <w:pStyle w:val="af5"/>
      </w:pPr>
      <w:r>
        <w:rPr>
          <w:rFonts w:hint="eastAsia"/>
        </w:rPr>
        <w:t xml:space="preserve">さらに、GMMは2つの研究手法に大別される。一つは標識点ベースの方法で、資料の相同な点を選択し、その位置関係を比較するものである。他方は輪郭ベースの方法で、資料の輪郭を数値化して比較するものである。本稿で用いる楕円フーリエ解析（Elliptic</w:t>
      </w:r>
      <w:r>
        <w:t xml:space="preserve"> </w:t>
      </w:r>
      <w:r>
        <w:t xml:space="preserve">Fourier Analysis,</w:t>
      </w:r>
      <w:r>
        <w:t xml:space="preserve"> </w:t>
      </w:r>
      <w:r>
        <w:rPr>
          <w:rFonts w:hint="eastAsia"/>
        </w:rPr>
        <w:t xml:space="preserve">EFA）は輪郭ベースの代表的手法である。この方法は、輪郭が閉曲線であることを利用し、周期関数で近似することで形の特徴を抽出するもので、必要に応じて調和数を設定することで、細部の表現を調整することができる。理論的な背景については生形</w:t>
      </w:r>
      <w:r>
        <w:rPr>
          <w:rFonts w:hint="eastAsia"/>
        </w:rPr>
        <w:t xml:space="preserve">（2005）</w:t>
      </w:r>
      <w:r>
        <w:rPr>
          <w:rFonts w:hint="eastAsia"/>
        </w:rPr>
        <w:t xml:space="preserve">や野下・田村</w:t>
      </w:r>
      <w:r>
        <w:rPr>
          <w:rFonts w:hint="eastAsia"/>
        </w:rPr>
        <w:t xml:space="preserve">（2017）</w:t>
      </w:r>
      <w:r>
        <w:rPr>
          <w:rFonts w:hint="eastAsia"/>
        </w:rPr>
        <w:t xml:space="preserve">がまとめた解説を参照されたい。</w:t>
      </w:r>
    </w:p>
    <w:p>
      <w:pPr>
        <w:pStyle w:val="af5"/>
      </w:pPr>
      <w:r>
        <w:rPr>
          <w:rFonts w:hint="eastAsia"/>
        </w:rPr>
        <w:t xml:space="preserve">楕円フーリエ解析にはRのパッケージMomocs</w:t>
      </w:r>
      <w:r>
        <w:t xml:space="preserve"> </w:t>
      </w:r>
      <w:r>
        <w:t xml:space="preserve">ver.1.4.1</w:t>
      </w:r>
      <w:r>
        <w:rPr>
          <w:rFonts w:hint="eastAsia"/>
        </w:rPr>
        <w:t xml:space="preserve">（Bonhomme</w:t>
      </w:r>
      <w:r>
        <w:t xml:space="preserve"> ほか, </w:t>
      </w:r>
      <w:r>
        <w:rPr>
          <w:rFonts w:hint="eastAsia"/>
        </w:rPr>
        <w:t xml:space="preserve">2014.）</w:t>
      </w:r>
      <w:r>
        <w:rPr>
          <w:rFonts w:hint="eastAsia"/>
        </w:rPr>
        <w:t xml:space="preserve">を使用する。Momocsでは2値化した画像から輪郭のデータを抽出することが可能である。画像は報告書等からスキャンした実測図から断面のアウトラインをAdobe</w:t>
      </w:r>
      <w:r>
        <w:t xml:space="preserve"> </w:t>
      </w:r>
      <w:r>
        <w:rPr>
          <w:rFonts w:hint="eastAsia"/>
        </w:rPr>
        <w:t xml:space="preserve">Photoshopで範囲選択後パスに変換し、黒色で塗りつぶした。解像度が低い場合はAdobe</w:t>
      </w:r>
      <w:r>
        <w:t xml:space="preserve"> </w:t>
      </w:r>
      <w:r>
        <w:rPr>
          <w:rFonts w:hint="eastAsia"/>
        </w:rPr>
        <w:t xml:space="preserve">IllustratorでトレースしたものをPhotoshopで2値化した。</w:t>
      </w:r>
      <w:r>
        <w:t xml:space="preserve"> </w:t>
      </w:r>
      <w:r>
        <w:rPr>
          <w:rFonts w:hint="eastAsia"/>
        </w:rPr>
        <w:t xml:space="preserve">輪郭のサイズ・位置・向きの影響を除去するために、Momocsで実測図の中心線と断面図の交点、口縁の端部の3か所にランドマークを設定し（図</w:t>
      </w:r>
      <w:r>
        <w:t xml:space="preserve">1.2</w:t>
      </w:r>
      <w:r>
        <w:rPr>
          <w:rFonts w:hint="eastAsia"/>
        </w:rPr>
        <w:t xml:space="preserve">）、一般化プロクラステス分析(Generalized</w:t>
      </w:r>
      <w:r>
        <w:t xml:space="preserve"> </w:t>
      </w:r>
      <w:r>
        <w:t xml:space="preserve">Procrustes</w:t>
      </w:r>
      <w:r>
        <w:t xml:space="preserve"> </w:t>
      </w:r>
      <w:r>
        <w:rPr>
          <w:rFonts w:hint="eastAsia"/>
        </w:rPr>
        <w:t xml:space="preserve">Analysis）で規格化・標準化した。必要な調和数をそれぞれ算出したのち、楕円フーリエ解析をした。得られた結果は、主成分分析を行い可視化したほか、平均的な形を描写して比較した。</w:t>
      </w:r>
    </w:p>
    <w:p>
      <w:pPr>
        <w:pStyle w:val="CaptionedFigure"/>
      </w:pPr>
      <w:r>
        <w:drawing>
          <wp:inline>
            <wp:extent cx="5219999" cy="2519360"/>
            <wp:effectExtent b="0" l="0" r="0" t="0"/>
            <wp:docPr descr="Figure 1.1: 「かたち」とは" title="" id="28" name="Picture"/>
            <a:graphic>
              <a:graphicData uri="http://schemas.openxmlformats.org/drawingml/2006/picture">
                <pic:pic>
                  <pic:nvPicPr>
                    <pic:cNvPr descr="analysis/figures/1_whats_shape.png" id="29" name="Picture"/>
                    <pic:cNvPicPr>
                      <a:picLocks noChangeArrowheads="1" noChangeAspect="1"/>
                    </pic:cNvPicPr>
                  </pic:nvPicPr>
                  <pic:blipFill>
                    <a:blip r:embed="rId27"/>
                    <a:stretch>
                      <a:fillRect/>
                    </a:stretch>
                  </pic:blipFill>
                  <pic:spPr bwMode="auto">
                    <a:xfrm>
                      <a:off x="0" y="0"/>
                      <a:ext cx="5219999" cy="2519360"/>
                    </a:xfrm>
                    <a:prstGeom prst="rect">
                      <a:avLst/>
                    </a:prstGeom>
                    <a:noFill/>
                    <a:ln w="9525">
                      <a:noFill/>
                      <a:headEnd/>
                      <a:tailEnd/>
                    </a:ln>
                  </pic:spPr>
                </pic:pic>
              </a:graphicData>
            </a:graphic>
          </wp:inline>
        </w:drawing>
      </w:r>
    </w:p>
    <w:p>
      <w:pPr>
        <w:pStyle w:val="ImageCaption"/>
      </w:pPr>
      <w:bookmarkStart w:id="30" w:name="fig:whats-shape"/>
      <w:bookmarkEnd w:id="30"/>
      <w:r>
        <w:t xml:space="preserve">Figure 1.1: 「かたち」とは</w:t>
      </w:r>
    </w:p>
    <w:p>
      <w:pPr>
        <w:pStyle w:val="CaptionedFigure"/>
      </w:pPr>
      <w:r>
        <w:drawing>
          <wp:inline>
            <wp:extent cx="5219999" cy="4155728"/>
            <wp:effectExtent b="0" l="0" r="0" t="0"/>
            <wp:docPr descr="Figure 1.2: 標識点を設定した輪郭線" title="" id="32" name="Picture"/>
            <a:graphic>
              <a:graphicData uri="http://schemas.openxmlformats.org/drawingml/2006/picture">
                <pic:pic>
                  <pic:nvPicPr>
                    <pic:cNvPr descr="analysis/figures/2_points.png" id="33" name="Picture"/>
                    <pic:cNvPicPr>
                      <a:picLocks noChangeArrowheads="1" noChangeAspect="1"/>
                    </pic:cNvPicPr>
                  </pic:nvPicPr>
                  <pic:blipFill>
                    <a:blip r:embed="rId31"/>
                    <a:stretch>
                      <a:fillRect/>
                    </a:stretch>
                  </pic:blipFill>
                  <pic:spPr bwMode="auto">
                    <a:xfrm>
                      <a:off x="0" y="0"/>
                      <a:ext cx="5219999" cy="4155728"/>
                    </a:xfrm>
                    <a:prstGeom prst="rect">
                      <a:avLst/>
                    </a:prstGeom>
                    <a:noFill/>
                    <a:ln w="9525">
                      <a:noFill/>
                      <a:headEnd/>
                      <a:tailEnd/>
                    </a:ln>
                  </pic:spPr>
                </pic:pic>
              </a:graphicData>
            </a:graphic>
          </wp:inline>
        </w:drawing>
      </w:r>
    </w:p>
    <w:p>
      <w:pPr>
        <w:pStyle w:val="ImageCaption"/>
      </w:pPr>
      <w:bookmarkStart w:id="34" w:name="fig:shape-points"/>
      <w:bookmarkEnd w:id="34"/>
      <w:r>
        <w:t xml:space="preserve">Figure 1.2: </w:t>
      </w:r>
      <w:r>
        <w:rPr>
          <w:rFonts w:hint="eastAsia"/>
        </w:rPr>
        <w:t xml:space="preserve">標識点を設定した輪郭線</w:t>
      </w:r>
    </w:p>
    <w:bookmarkStart w:id="44" w:name="主成分分析"/>
    <w:p>
      <w:pPr>
        <w:pStyle w:val="30"/>
      </w:pPr>
      <w:r>
        <w:rPr>
          <w:rFonts w:hint="eastAsia"/>
        </w:rPr>
        <w:t xml:space="preserve">主成分分析</w:t>
      </w:r>
    </w:p>
    <w:p>
      <w:pPr>
        <w:pStyle w:val="FirstParagraph"/>
      </w:pPr>
      <w:r>
        <w:rPr>
          <w:rFonts w:hint="eastAsia"/>
        </w:rPr>
        <w:t xml:space="preserve">小型品の主成分分析（図</w:t>
      </w:r>
      <w:r>
        <w:t xml:space="preserve">1.3</w:t>
      </w:r>
      <w:r>
        <w:rPr>
          <w:rFonts w:hint="eastAsia"/>
        </w:rPr>
        <w:t xml:space="preserve">）では、PC1は相対的な厚さ、PC2は体部～口縁部の外反度合、PC3は腰部の屈曲度合を特徴として捉えている。</w:t>
      </w:r>
    </w:p>
    <w:p>
      <w:pPr>
        <w:pStyle w:val="af5"/>
      </w:pPr>
      <w:r>
        <w:rPr>
          <w:rFonts w:hint="eastAsia"/>
        </w:rPr>
        <w:t xml:space="preserve">京都では9Bから10B段階にかけて体部〜口縁部の外反度合と腰部の屈曲度合ともに弱くなり、10段階の皿Sの丸底化を指摘する先行研究と一致する</w:t>
      </w:r>
      <w:r>
        <w:rPr>
          <w:rFonts w:hint="eastAsia"/>
        </w:rPr>
        <w:t xml:space="preserve">（小森・上村1996、</w:t>
      </w:r>
      <w:r>
        <w:t xml:space="preserve"> </w:t>
      </w:r>
      <w:r>
        <w:rPr>
          <w:rFonts w:hint="eastAsia"/>
        </w:rPr>
        <w:t xml:space="preserve">森島2019）</w:t>
      </w:r>
      <w:r>
        <w:t xml:space="preserve">。</w:t>
      </w:r>
    </w:p>
    <w:p>
      <w:pPr>
        <w:pStyle w:val="af5"/>
      </w:pPr>
      <w:r>
        <w:rPr>
          <w:rFonts w:hint="eastAsia"/>
        </w:rPr>
        <w:t xml:space="preserve">富山では、石名田木舟遺跡において15C後半のF3-SD7030からF3-SD7003にかけて体部〜口縁部の外反度合が減少し、16世紀中頃〜後半のB2・C地区になると厚くなり、体部〜口縁部の外反度合はさらに減少する。この地区では主体となる型式がTIからTKに置き換わるが</w:t>
      </w:r>
      <w:r>
        <w:rPr>
          <w:rStyle w:val="aff4"/>
        </w:rPr>
        <w:footnoteReference w:id="35"/>
      </w:r>
      <w:r>
        <w:rPr>
          <w:rFonts w:hint="eastAsia"/>
        </w:rPr>
        <w:t xml:space="preserve">、このことが形からも理解できる。富山城跡では、RS3-SD54に比べRS2-SK705は厚手であり、この点と後述する調整（図</w:t>
      </w:r>
      <w:r>
        <w:t xml:space="preserve">1.8</w:t>
      </w:r>
      <w:r>
        <w:rPr>
          <w:rFonts w:hint="eastAsia"/>
        </w:rPr>
        <w:t xml:space="preserve">）を根拠に堀内</w:t>
      </w:r>
      <w:r>
        <w:rPr>
          <w:rFonts w:hint="eastAsia"/>
        </w:rPr>
        <w:t xml:space="preserve">（2019）</w:t>
      </w:r>
      <w:r>
        <w:rPr>
          <w:rFonts w:hint="eastAsia"/>
        </w:rPr>
        <w:t xml:space="preserve">の年代観に疑義を呈した</w:t>
      </w:r>
      <w:r>
        <w:rPr>
          <w:rFonts w:hint="eastAsia"/>
        </w:rPr>
        <w:t xml:space="preserve">（松井2019）</w:t>
      </w:r>
      <w:r>
        <w:t xml:space="preserve">。</w:t>
      </w:r>
    </w:p>
    <w:p>
      <w:pPr>
        <w:pStyle w:val="af5"/>
      </w:pPr>
      <w:r>
        <w:rPr>
          <w:rFonts w:hint="eastAsia"/>
        </w:rPr>
        <w:t xml:space="preserve">京都と富山を比較すると、石名田木舟遺跡F3-SD7003・F3-SD7030および富山城跡RS3-SD54は、京都9C～10B段階と近似するが、富山城跡RS2-SK705はより隔たっている。特にPC2において、15世紀後半の石名田木舟遺跡F3-SD7030は15世紀後葉の京都9C段階に近接し、後出するF3-SD7003では離れる傾向にある。小型品において両地域の形は完全に一致しないが、外反度合が減少する傾向は共通する。</w:t>
      </w:r>
    </w:p>
    <w:p>
      <w:pPr>
        <w:pStyle w:val="af5"/>
      </w:pPr>
      <w:r>
        <w:rPr>
          <w:rFonts w:hint="eastAsia"/>
        </w:rPr>
        <w:t xml:space="preserve">中大型品（図</w:t>
      </w:r>
      <w:r>
        <w:t xml:space="preserve">1.4</w:t>
      </w:r>
      <w:r>
        <w:rPr>
          <w:rFonts w:hint="eastAsia"/>
        </w:rPr>
        <w:t xml:space="preserve">）では、PC1は相対的な厚さ、PC2は体部（底部）の相対的な長さ、PC3は腰部の屈曲度合を特徴として捉えている。</w:t>
      </w:r>
    </w:p>
    <w:p>
      <w:pPr>
        <w:pStyle w:val="af5"/>
      </w:pPr>
      <w:r>
        <w:rPr>
          <w:rFonts w:hint="eastAsia"/>
        </w:rPr>
        <w:t xml:space="preserve">京都では9Bから10B段階にかけて体部が短縮し、皿形化（器高の低下、体部～口縁部の矮小化）を指摘している先行研究と一致する</w:t>
      </w:r>
      <w:r>
        <w:rPr>
          <w:rFonts w:hint="eastAsia"/>
        </w:rPr>
        <w:t xml:space="preserve">（小森・上村1996）</w:t>
      </w:r>
      <w:r>
        <w:t xml:space="preserve">。</w:t>
      </w:r>
    </w:p>
    <w:p>
      <w:pPr>
        <w:pStyle w:val="af5"/>
      </w:pPr>
      <w:r>
        <w:rPr>
          <w:rFonts w:hint="eastAsia"/>
        </w:rPr>
        <w:t xml:space="preserve">富山では、石名田木舟遺跡でも15C後半のF3-SD7030からF3-SD7003にかけて体部が短縮し、16世紀中頃〜後半のB2・C地区は厚手となる。富山城跡の資料も同様に厚手化する。</w:t>
      </w:r>
    </w:p>
    <w:p>
      <w:pPr>
        <w:pStyle w:val="af5"/>
      </w:pPr>
      <w:r>
        <w:rPr>
          <w:rFonts w:hint="eastAsia"/>
        </w:rPr>
        <w:t xml:space="preserve">両地域を比較すると、京都9C～10B段階と石名田木舟遺跡F3-SD7003・F3-SD7030が近接し、京都9B段階や石名田木舟遺跡B2・C地区、富山城跡の資料は分離する。小型品と同様に、特にPC2において、15世紀後半の石名田木舟遺跡F3-SD7030は15世紀後葉の京都9C段階に近接し、後出するF3-SD7003では離れる傾向にある。</w:t>
      </w:r>
    </w:p>
    <w:p>
      <w:pPr>
        <w:pStyle w:val="CaptionedFigure"/>
      </w:pPr>
      <w:r>
        <w:drawing>
          <wp:inline>
            <wp:extent cx="5219999" cy="7829999"/>
            <wp:effectExtent b="0" l="0" r="0" t="0"/>
            <wp:docPr descr="Figure 1.3: 小型品の主成分分析の結果。A：PC1 vs PC2、B：PC1 vs PC3。楕円と十字線はそれぞれ50%と90%の信頼区間を示す。" title="" id="37" name="Picture"/>
            <a:graphic>
              <a:graphicData uri="http://schemas.openxmlformats.org/drawingml/2006/picture">
                <pic:pic>
                  <pic:nvPicPr>
                    <pic:cNvPr descr="analysis/figures/3_pca_small_merged.png" id="38" name="Picture"/>
                    <pic:cNvPicPr>
                      <a:picLocks noChangeArrowheads="1" noChangeAspect="1"/>
                    </pic:cNvPicPr>
                  </pic:nvPicPr>
                  <pic:blipFill>
                    <a:blip r:embed="rId36"/>
                    <a:stretch>
                      <a:fillRect/>
                    </a:stretch>
                  </pic:blipFill>
                  <pic:spPr bwMode="auto">
                    <a:xfrm>
                      <a:off x="0" y="0"/>
                      <a:ext cx="5219999" cy="7829999"/>
                    </a:xfrm>
                    <a:prstGeom prst="rect">
                      <a:avLst/>
                    </a:prstGeom>
                    <a:noFill/>
                    <a:ln w="9525">
                      <a:noFill/>
                      <a:headEnd/>
                      <a:tailEnd/>
                    </a:ln>
                  </pic:spPr>
                </pic:pic>
              </a:graphicData>
            </a:graphic>
          </wp:inline>
        </w:drawing>
      </w:r>
    </w:p>
    <w:p>
      <w:pPr>
        <w:pStyle w:val="ImageCaption"/>
      </w:pPr>
      <w:bookmarkStart w:id="39" w:name="fig:small-pca"/>
      <w:bookmarkEnd w:id="39"/>
      <w:r>
        <w:t xml:space="preserve">Figure 1.3: </w:t>
      </w:r>
      <w:r>
        <w:rPr>
          <w:rFonts w:hint="eastAsia"/>
        </w:rPr>
        <w:t xml:space="preserve">小型品の主成分分析の結果。A：PC1</w:t>
      </w:r>
      <w:r>
        <w:t xml:space="preserve"> vs </w:t>
      </w:r>
      <w:r>
        <w:rPr>
          <w:rFonts w:hint="eastAsia"/>
        </w:rPr>
        <w:t xml:space="preserve">PC2、B：PC1</w:t>
      </w:r>
      <w:r>
        <w:t xml:space="preserve"> vs </w:t>
      </w:r>
      <w:r>
        <w:rPr>
          <w:rFonts w:hint="eastAsia"/>
        </w:rPr>
        <w:t xml:space="preserve">PC3。楕円と十字線はそれぞれ50%と90%の信頼区間を示す。</w:t>
      </w:r>
    </w:p>
    <w:p>
      <w:pPr>
        <w:pStyle w:val="CaptionedFigure"/>
      </w:pPr>
      <w:r>
        <w:drawing>
          <wp:inline>
            <wp:extent cx="5219999" cy="7829999"/>
            <wp:effectExtent b="0" l="0" r="0" t="0"/>
            <wp:docPr descr="Figure 1.4: 中大型の主成分分析の結果。A：PC1 vs PC2、B：PC1 vs PC3。楕円と十字線はそれぞれ50%と90%の信頼区間を示す。" title="" id="41" name="Picture"/>
            <a:graphic>
              <a:graphicData uri="http://schemas.openxmlformats.org/drawingml/2006/picture">
                <pic:pic>
                  <pic:nvPicPr>
                    <pic:cNvPr descr="analysis/figures/4_pca_large_merged.png" id="42" name="Picture"/>
                    <pic:cNvPicPr>
                      <a:picLocks noChangeArrowheads="1" noChangeAspect="1"/>
                    </pic:cNvPicPr>
                  </pic:nvPicPr>
                  <pic:blipFill>
                    <a:blip r:embed="rId40"/>
                    <a:stretch>
                      <a:fillRect/>
                    </a:stretch>
                  </pic:blipFill>
                  <pic:spPr bwMode="auto">
                    <a:xfrm>
                      <a:off x="0" y="0"/>
                      <a:ext cx="5219999" cy="7829999"/>
                    </a:xfrm>
                    <a:prstGeom prst="rect">
                      <a:avLst/>
                    </a:prstGeom>
                    <a:noFill/>
                    <a:ln w="9525">
                      <a:noFill/>
                      <a:headEnd/>
                      <a:tailEnd/>
                    </a:ln>
                  </pic:spPr>
                </pic:pic>
              </a:graphicData>
            </a:graphic>
          </wp:inline>
        </w:drawing>
      </w:r>
    </w:p>
    <w:p>
      <w:pPr>
        <w:pStyle w:val="ImageCaption"/>
      </w:pPr>
      <w:bookmarkStart w:id="43" w:name="fig:large-pca"/>
      <w:bookmarkEnd w:id="43"/>
      <w:r>
        <w:t xml:space="preserve">Figure 1.4: </w:t>
      </w:r>
      <w:r>
        <w:rPr>
          <w:rFonts w:hint="eastAsia"/>
        </w:rPr>
        <w:t xml:space="preserve">中大型の主成分分析の結果。A：PC1</w:t>
      </w:r>
      <w:r>
        <w:t xml:space="preserve"> vs </w:t>
      </w:r>
      <w:r>
        <w:rPr>
          <w:rFonts w:hint="eastAsia"/>
        </w:rPr>
        <w:t xml:space="preserve">PC2、B：PC1</w:t>
      </w:r>
      <w:r>
        <w:t xml:space="preserve"> vs </w:t>
      </w:r>
      <w:r>
        <w:rPr>
          <w:rFonts w:hint="eastAsia"/>
        </w:rPr>
        <w:t xml:space="preserve">PC3。楕円と十字線はそれぞれ50%と90%の信頼区間を示す。</w:t>
      </w:r>
    </w:p>
    <w:bookmarkEnd w:id="44"/>
    <w:bookmarkStart w:id="49" w:name="平均的な形"/>
    <w:p>
      <w:pPr>
        <w:pStyle w:val="30"/>
      </w:pPr>
      <w:r>
        <w:rPr>
          <w:rFonts w:hint="eastAsia"/>
        </w:rPr>
        <w:t xml:space="preserve">平均的な形</w:t>
      </w:r>
    </w:p>
    <w:p>
      <w:pPr>
        <w:pStyle w:val="FirstParagraph"/>
      </w:pPr>
      <w:r>
        <w:rPr>
          <w:rFonts w:hint="eastAsia"/>
        </w:rPr>
        <w:t xml:space="preserve">主成分分析のほかに、楕円フーリエ解析の結果から平均的な形を描写することもできる。薄板スプライン法（Thin</w:t>
      </w:r>
      <w:r>
        <w:t xml:space="preserve"> </w:t>
      </w:r>
      <w:r>
        <w:t xml:space="preserve">Plate Splines,</w:t>
      </w:r>
      <w:r>
        <w:t xml:space="preserve"> </w:t>
      </w:r>
      <w:r>
        <w:rPr>
          <w:rFonts w:hint="eastAsia"/>
        </w:rPr>
        <w:t xml:space="preserve">TPS）による平均的な形の比較（図</w:t>
      </w:r>
      <w:r>
        <w:t xml:space="preserve">1.5</w:t>
      </w:r>
      <w:r>
        <w:rPr>
          <w:rFonts w:hint="eastAsia"/>
        </w:rPr>
        <w:t xml:space="preserve">）では、小型品において、石名田木舟遺跡F3-SD7030（15世紀後半）は京都9C段階と類似するが、富山城跡RS2-SK705は京都10B段階よりも厚手で異なる。中大型品では、石名田木舟遺跡F3-SD7030が京都9C段階、同遺跡F3-SD7003が京都10A段階と類似する一方、富山城跡の資料は京都10A・10B段階と明確に異なる。</w:t>
      </w:r>
    </w:p>
    <w:p>
      <w:pPr>
        <w:pStyle w:val="CaptionedFigure"/>
      </w:pPr>
      <w:r>
        <w:drawing>
          <wp:inline>
            <wp:extent cx="5219999" cy="3914999"/>
            <wp:effectExtent b="0" l="0" r="0" t="0"/>
            <wp:docPr descr="Figure 1.5: 京都と富山の平均的な形の比較（A:小型品、B:中大型品）" title="" id="46" name="Picture"/>
            <a:graphic>
              <a:graphicData uri="http://schemas.openxmlformats.org/drawingml/2006/picture">
                <pic:pic>
                  <pic:nvPicPr>
                    <pic:cNvPr descr="analysis/figures/5_mshape_final_merged.png" id="47" name="Picture"/>
                    <pic:cNvPicPr>
                      <a:picLocks noChangeArrowheads="1" noChangeAspect="1"/>
                    </pic:cNvPicPr>
                  </pic:nvPicPr>
                  <pic:blipFill>
                    <a:blip r:embed="rId45"/>
                    <a:stretch>
                      <a:fillRect/>
                    </a:stretch>
                  </pic:blipFill>
                  <pic:spPr bwMode="auto">
                    <a:xfrm>
                      <a:off x="0" y="0"/>
                      <a:ext cx="5219999" cy="3914999"/>
                    </a:xfrm>
                    <a:prstGeom prst="rect">
                      <a:avLst/>
                    </a:prstGeom>
                    <a:noFill/>
                    <a:ln w="9525">
                      <a:noFill/>
                      <a:headEnd/>
                      <a:tailEnd/>
                    </a:ln>
                  </pic:spPr>
                </pic:pic>
              </a:graphicData>
            </a:graphic>
          </wp:inline>
        </w:drawing>
      </w:r>
    </w:p>
    <w:p>
      <w:pPr>
        <w:pStyle w:val="ImageCaption"/>
      </w:pPr>
      <w:bookmarkStart w:id="48" w:name="fig:mean-shape"/>
      <w:bookmarkEnd w:id="48"/>
      <w:r>
        <w:t xml:space="preserve">Figure 1.5: </w:t>
      </w:r>
      <w:r>
        <w:rPr>
          <w:rFonts w:hint="eastAsia"/>
        </w:rPr>
        <w:t xml:space="preserve">京都と富山の平均的な形の比較（A:小型品、B:中大型品）</w:t>
      </w:r>
    </w:p>
    <w:bookmarkEnd w:id="49"/>
    <w:bookmarkEnd w:id="50"/>
    <w:bookmarkStart w:id="62" w:name="口径分布"/>
    <w:p>
      <w:pPr>
        <w:pStyle w:val="20"/>
      </w:pPr>
      <w:r>
        <w:rPr>
          <w:rFonts w:hint="eastAsia"/>
        </w:rPr>
        <w:t xml:space="preserve">口径分布</w:t>
      </w:r>
    </w:p>
    <w:p>
      <w:pPr>
        <w:pStyle w:val="FirstParagraph"/>
      </w:pPr>
      <w:r>
        <w:rPr>
          <w:rFonts w:hint="eastAsia"/>
        </w:rPr>
        <w:t xml:space="preserve">図</w:t>
      </w:r>
      <w:r>
        <w:t xml:space="preserve">1.6</w:t>
      </w:r>
      <w:r>
        <w:rPr>
          <w:rFonts w:hint="eastAsia"/>
        </w:rPr>
        <w:t xml:space="preserve">は京都と富山の口径分布を示したヒストグラムである。富山の分布は京都に比べ、小型品の密度が偏重し、中大型品は密度が低い。富山の小型品の分布は単峰性を示すが、京都9C・10B段階で確認される二峰性の分布であり、両地域に相違がある。</w:t>
      </w:r>
    </w:p>
    <w:p>
      <w:pPr>
        <w:pStyle w:val="af5"/>
      </w:pPr>
      <w:r>
        <w:rPr>
          <w:rFonts w:hint="eastAsia"/>
        </w:rPr>
        <w:t xml:space="preserve">表</w:t>
      </w:r>
      <w:r>
        <w:t xml:space="preserve">1.1</w:t>
      </w:r>
      <w:r>
        <w:rPr>
          <w:rFonts w:hint="eastAsia"/>
        </w:rPr>
        <w:t xml:space="preserve">と図</w:t>
      </w:r>
      <w:r>
        <w:t xml:space="preserve">1.7</w:t>
      </w:r>
      <w:r>
        <w:rPr>
          <w:rFonts w:hint="eastAsia"/>
        </w:rPr>
        <w:t xml:space="preserve">は富山の小型品に限定した概要表と箱ひげ図である。富山城跡RS3-SD54と石名田木舟遺跡B2・C地区のCV</w:t>
      </w:r>
      <w:r>
        <w:rPr>
          <w:rStyle w:val="aff4"/>
        </w:rPr>
        <w:footnoteReference w:id="51"/>
      </w:r>
      <w:r>
        <w:rPr>
          <w:rFonts w:hint="eastAsia"/>
        </w:rPr>
        <w:t xml:space="preserve">がそのほかよりも大きく、平均値が同程度であっても四分位範囲が大きいことから、分布にばらつきがある。前者は遺構の性格</w:t>
      </w:r>
      <w:r>
        <w:rPr>
          <w:rStyle w:val="aff4"/>
        </w:rPr>
        <w:footnoteReference w:id="52"/>
      </w:r>
      <w:r>
        <w:rPr>
          <w:rFonts w:hint="eastAsia"/>
        </w:rPr>
        <w:t xml:space="preserve">、後者は包含層を含む地区全体の資料であることから、その結果が反映されている可能性が高い。</w:t>
      </w:r>
    </w:p>
    <w:p>
      <w:pPr>
        <w:pStyle w:val="CaptionedFigure"/>
      </w:pPr>
      <w:r>
        <w:drawing>
          <wp:inline>
            <wp:extent cx="5219999" cy="2159514"/>
            <wp:effectExtent b="0" l="0" r="0" t="0"/>
            <wp:docPr descr="Figure 1.6: 富山と京都の口径分布。ビン幅は0.5。" title="" id="54" name="Picture"/>
            <a:graphic>
              <a:graphicData uri="http://schemas.openxmlformats.org/drawingml/2006/picture">
                <pic:pic>
                  <pic:nvPicPr>
                    <pic:cNvPr descr="analysis/figures/6_hist_kyoto_toyama.png" id="55" name="Picture"/>
                    <pic:cNvPicPr>
                      <a:picLocks noChangeArrowheads="1" noChangeAspect="1"/>
                    </pic:cNvPicPr>
                  </pic:nvPicPr>
                  <pic:blipFill>
                    <a:blip r:embed="rId53"/>
                    <a:stretch>
                      <a:fillRect/>
                    </a:stretch>
                  </pic:blipFill>
                  <pic:spPr bwMode="auto">
                    <a:xfrm>
                      <a:off x="0" y="0"/>
                      <a:ext cx="5219999" cy="2159514"/>
                    </a:xfrm>
                    <a:prstGeom prst="rect">
                      <a:avLst/>
                    </a:prstGeom>
                    <a:noFill/>
                    <a:ln w="9525">
                      <a:noFill/>
                      <a:headEnd/>
                      <a:tailEnd/>
                    </a:ln>
                  </pic:spPr>
                </pic:pic>
              </a:graphicData>
            </a:graphic>
          </wp:inline>
        </w:drawing>
      </w:r>
    </w:p>
    <w:p>
      <w:pPr>
        <w:pStyle w:val="ImageCaption"/>
      </w:pPr>
      <w:bookmarkStart w:id="56" w:name="fig:rim-diameter"/>
      <w:bookmarkEnd w:id="56"/>
      <w:r>
        <w:t xml:space="preserve">Figure 1.6: </w:t>
      </w:r>
      <w:r>
        <w:rPr>
          <w:rFonts w:hint="eastAsia"/>
        </w:rPr>
        <w:t xml:space="preserve">富山と京都の口径分布。ビン幅は0.5。</w:t>
      </w:r>
    </w:p>
    <w:p>
      <w:pPr>
        <w:pStyle w:val="TableCaption"/>
      </w:pPr>
      <w:bookmarkStart w:id="57" w:name="tab:summary-table"/>
      <w:bookmarkEnd w:id="57"/>
      <w:r>
        <w:t xml:space="preserve">Table 1.1:</w:t>
      </w:r>
      <w:r>
        <w:t xml:space="preserve"> </w:t>
      </w:r>
      <w:r>
        <w:t xml:space="preserve">石名田木舟遺跡と富山城跡の口径概要表</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2880"/>
        <w:gridCol w:w="864"/>
        <w:gridCol w:w="864"/>
        <w:gridCol w:w="864"/>
        <w:gridCol w:w="864"/>
        <w:gridCol w:w="864"/>
      </w:tblGrid>
      <w:tr>
        <w:trPr>
          <w:trHeight w:val="360" w:hRule="auto"/>
          <w:tblHeader/>
        </w:trPr>
        header1
        <w:tc>
          <w:tcPr>
            <w:gridSpan w:val="6"/>
            <w:tcBorders>
              <w:bottom w:val="none" w:sz="0" w:space="0" w:color="666666"/>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Diameter（cm）</w:t>
            </w:r>
          </w:p>
        </w:tc>
      </w:tr>
      <w:tr>
        <w:trPr>
          <w:trHeight w:val="360" w:hRule="auto"/>
          <w:tblHeader/>
        </w:trPr>
        header2
        <w:tc>
          <w:tcPr>
            <w:tcBorders>
              <w:bottom w:val="single" w:sz="5" w:space="0" w:color="000000"/>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出土地（時代）</w:t>
            </w:r>
          </w:p>
        </w:tc>
        <w:tc>
          <w:tcPr>
            <w:tcBorders>
              <w:bottom w:val="single" w:sz="5" w:space="0" w:color="000000"/>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true"/>
                <w:u w:val="none"/>
                <w:sz w:val="20"/>
                <w:szCs w:val="20"/>
                <w:color w:val="000000"/>
              </w:rPr>
              <w:t xml:space="preserve">n</w:t>
            </w:r>
          </w:p>
        </w:tc>
        <w:tc>
          <w:tcPr>
            <w:tcBorders>
              <w:bottom w:val="single" w:sz="5" w:space="0" w:color="000000"/>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true"/>
                <w:u w:val="none"/>
                <w:sz w:val="20"/>
                <w:szCs w:val="20"/>
                <w:color w:val="000000"/>
              </w:rPr>
              <w:t xml:space="preserve">Mean</w:t>
            </w:r>
          </w:p>
        </w:tc>
        <w:tc>
          <w:tcPr>
            <w:tcBorders>
              <w:bottom w:val="single" w:sz="5" w:space="0" w:color="000000"/>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true"/>
                <w:u w:val="none"/>
                <w:sz w:val="20"/>
                <w:szCs w:val="20"/>
                <w:color w:val="000000"/>
              </w:rPr>
              <w:t xml:space="preserve">Var</w:t>
            </w:r>
          </w:p>
        </w:tc>
        <w:tc>
          <w:tcPr>
            <w:tcBorders>
              <w:bottom w:val="single" w:sz="5" w:space="0" w:color="000000"/>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tru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true"/>
                <w:b w:val="true"/>
                <w:u w:val="none"/>
                <w:sz w:val="20"/>
                <w:szCs w:val="20"/>
                <w:color w:val="000000"/>
              </w:rPr>
              <w:t xml:space="preserve">SD</w:t>
            </w:r>
          </w:p>
        </w:tc>
        <w:tc>
          <w:tcPr>
            <w:tcBorders>
              <w:bottom w:val="single" w:sz="5" w:space="0" w:color="000000"/>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0"/>
                <w:szCs w:val="20"/>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20"/>
                <w:szCs w:val="20"/>
                <w:color w:val="000000"/>
              </w:rPr>
              <w:t xml:space="preserve">CV</w:t>
            </w:r>
          </w:p>
        </w:tc>
      </w:tr>
      <w:tr>
        <w:trPr>
          <w:trHeight w:val="360" w:hRule="auto"/>
        </w:trPr>
        body1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6"/>
                <w:szCs w:val="16"/>
                <w:color w:val="000000"/>
              </w:rPr>
              <w:t xml:space="preserve">石名田木舟遺跡F3-SD7030</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6"/>
                <w:szCs w:val="16"/>
                <w:color w:val="000000"/>
              </w:rPr>
              <w:t xml:space="preserve">（15C後半（古））</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112</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8.8</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0.2</w:t>
            </w:r>
          </w:p>
        </w:tc>
        <w:tc>
          <w:tcPr>
            <w:tcBorders>
              <w:bottom w:val="none" w:sz="0" w:space="0" w:color="000000"/>
              <w:top w:val="single" w:sz="5"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0.03</w:t>
            </w:r>
          </w:p>
        </w:tc>
      </w:tr>
      <w:tr>
        <w:trPr>
          <w:trHeight w:val="36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6"/>
                <w:szCs w:val="16"/>
                <w:color w:val="000000"/>
              </w:rPr>
              <w:t xml:space="preserve">石名田木舟遺跡F3-SD7003</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6"/>
                <w:szCs w:val="16"/>
                <w:color w:val="000000"/>
              </w:rPr>
              <w:t xml:space="preserve">（15C後半（新））</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w:t>
            </w:r>
          </w:p>
        </w:tc>
      </w:tr>
      <w:tr>
        <w:trPr>
          <w:trHeight w:val="360"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6"/>
                <w:szCs w:val="16"/>
                <w:color w:val="000000"/>
              </w:rPr>
              <w:t xml:space="preserve">富山城跡RS3-SD54</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6"/>
                <w:szCs w:val="16"/>
                <w:color w:val="000000"/>
              </w:rPr>
              <w:t xml:space="preserve">（16C前半）</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0.08</w:t>
            </w:r>
          </w:p>
        </w:tc>
      </w:tr>
      <w:tr>
        <w:trPr>
          <w:trHeight w:val="360"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6"/>
                <w:szCs w:val="16"/>
                <w:color w:val="000000"/>
              </w:rPr>
              <w:t xml:space="preserve">富山城跡RS2-SK705</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6"/>
                <w:szCs w:val="16"/>
                <w:color w:val="000000"/>
              </w:rPr>
              <w:t xml:space="preserve">（16C中頃）</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0.04</w:t>
            </w:r>
          </w:p>
        </w:tc>
      </w:tr>
      <w:tr>
        <w:trPr>
          <w:trHeight w:val="360" w:hRule="auto"/>
        </w:trPr>
        body5
        <w:tc>
          <w:tcPr>
            <w:tcBorders>
              <w:bottom w:val="single" w:sz="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6"/>
                <w:szCs w:val="16"/>
                <w:color w:val="000000"/>
              </w:rPr>
              <w:t xml:space="preserve">石名田木舟遺跡B2・C</w:t>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6"/>
                <w:szCs w:val="16"/>
                <w:color w:val="000000"/>
              </w:rPr>
              <w:br/>
            </w: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z w:val="16"/>
                <w:szCs w:val="16"/>
                <w:color w:val="000000"/>
              </w:rPr>
              <w:t xml:space="preserve">（16C中頃〜後半）</w:t>
            </w:r>
          </w:p>
        </w:tc>
        <w:tc>
          <w:tcPr>
            <w:tcBorders>
              <w:bottom w:val="single" w:sz="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56</w:t>
            </w:r>
          </w:p>
        </w:tc>
        <w:tc>
          <w:tcPr>
            <w:tcBorders>
              <w:bottom w:val="single" w:sz="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9.3</w:t>
            </w:r>
          </w:p>
        </w:tc>
        <w:tc>
          <w:tcPr>
            <w:tcBorders>
              <w:bottom w:val="single" w:sz="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0.4</w:t>
            </w:r>
          </w:p>
        </w:tc>
        <w:tc>
          <w:tcPr>
            <w:tcBorders>
              <w:bottom w:val="single" w:sz="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0.6</w:t>
            </w:r>
          </w:p>
        </w:tc>
        <w:tc>
          <w:tcPr>
            <w:tcBorders>
              <w:bottom w:val="single" w:sz="2"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16"/>
                <w:szCs w:val="16"/>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z w:val="16"/>
                <w:szCs w:val="16"/>
                <w:color w:val="000000"/>
              </w:rPr>
              <w:t xml:space="preserve">0.07</w:t>
            </w:r>
          </w:p>
        </w:tc>
      </w:tr>
    </w:tbl>
    <w:p>
      <w:pPr>
        <w:pStyle w:val="CaptionedFigure"/>
      </w:pPr>
      <w:r>
        <w:drawing>
          <wp:inline>
            <wp:extent cx="5219999" cy="2593106"/>
            <wp:effectExtent b="0" l="0" r="0" t="0"/>
            <wp:docPr descr="Figure 1.7: 石名田木舟遺跡と富山城跡の口径分布（箱ひげ図）" title="" id="59" name="Picture"/>
            <a:graphic>
              <a:graphicData uri="http://schemas.openxmlformats.org/drawingml/2006/picture">
                <pic:pic>
                  <pic:nvPicPr>
                    <pic:cNvPr descr="analysis/figures/7_box_plot.png" id="60" name="Picture"/>
                    <pic:cNvPicPr>
                      <a:picLocks noChangeArrowheads="1" noChangeAspect="1"/>
                    </pic:cNvPicPr>
                  </pic:nvPicPr>
                  <pic:blipFill>
                    <a:blip r:embed="rId58"/>
                    <a:stretch>
                      <a:fillRect/>
                    </a:stretch>
                  </pic:blipFill>
                  <pic:spPr bwMode="auto">
                    <a:xfrm>
                      <a:off x="0" y="0"/>
                      <a:ext cx="5219999" cy="2593106"/>
                    </a:xfrm>
                    <a:prstGeom prst="rect">
                      <a:avLst/>
                    </a:prstGeom>
                    <a:noFill/>
                    <a:ln w="9525">
                      <a:noFill/>
                      <a:headEnd/>
                      <a:tailEnd/>
                    </a:ln>
                  </pic:spPr>
                </pic:pic>
              </a:graphicData>
            </a:graphic>
          </wp:inline>
        </w:drawing>
      </w:r>
    </w:p>
    <w:p>
      <w:pPr>
        <w:pStyle w:val="ImageCaption"/>
      </w:pPr>
      <w:bookmarkStart w:id="61" w:name="fig:box-plot"/>
      <w:bookmarkEnd w:id="61"/>
      <w:r>
        <w:t xml:space="preserve">Figure 1.7: </w:t>
      </w:r>
      <w:r>
        <w:rPr>
          <w:rFonts w:hint="eastAsia"/>
        </w:rPr>
        <w:t xml:space="preserve">石名田木舟遺跡と富山城跡の口径分布（箱ひげ図）</w:t>
      </w:r>
    </w:p>
    <w:bookmarkEnd w:id="62"/>
    <w:bookmarkStart w:id="68" w:name="定性データの可視化"/>
    <w:p>
      <w:pPr>
        <w:pStyle w:val="20"/>
      </w:pPr>
      <w:r>
        <w:rPr>
          <w:rFonts w:hint="eastAsia"/>
        </w:rPr>
        <w:t xml:space="preserve">定性データの可視化</w:t>
      </w:r>
    </w:p>
    <w:p>
      <w:pPr>
        <w:pStyle w:val="FirstParagraph"/>
      </w:pPr>
      <w:r>
        <w:rPr>
          <w:rFonts w:hint="eastAsia"/>
        </w:rPr>
        <w:t xml:space="preserve">資料の観察から得られた所見は「定性データ」と呼ばれる。数値化が難しい多様な特徴を、文章で記録するもので、「定量データ」よりも豊富な情報を持つ。しかし、そのままでは俯瞰的な分析に活用しにくいため、考古学では分類を通じて「記号化」し、数値データと同様に扱える形式へ整理することが一般的である。</w:t>
      </w:r>
    </w:p>
    <w:p>
      <w:pPr>
        <w:pStyle w:val="af5"/>
      </w:pPr>
      <w:r>
        <w:rPr>
          <w:rFonts w:hint="eastAsia"/>
        </w:rPr>
        <w:t xml:space="preserve">図</w:t>
      </w:r>
      <w:r>
        <w:t xml:space="preserve">1.8</w:t>
      </w:r>
      <w:r>
        <w:rPr>
          <w:rFonts w:hint="eastAsia"/>
        </w:rPr>
        <w:t xml:space="preserve">は、表</w:t>
      </w:r>
      <w:r>
        <w:t xml:space="preserve">0.2</w:t>
      </w:r>
      <w:r>
        <w:rPr>
          <w:rFonts w:hint="eastAsia"/>
        </w:rPr>
        <w:t xml:space="preserve">で示した調整の特徴を簡略化し、欠損や摩滅によって「不明・不明瞭」と判断した資料を除いたうえで、各遺跡・遺構における調整の比率を示したものである。</w:t>
      </w:r>
    </w:p>
    <w:p>
      <w:pPr>
        <w:pStyle w:val="af5"/>
      </w:pPr>
      <w:r>
        <w:rPr>
          <w:rFonts w:hint="eastAsia"/>
        </w:rPr>
        <w:t xml:space="preserve">石名田木舟遺跡ではF3-SD7030とF3-SD7003の小型品で調整の比率が異なり、体部において「2字ナデ」から「の字ナデ」への移行が確認できる。B2・C地区では、小型品と中大型品の体部に共通して「D字ナデ」が施され、見込では小型品で半数、中大型品の全てが「一方向ナデ・指ナデ」を示している。</w:t>
      </w:r>
    </w:p>
    <w:p>
      <w:pPr>
        <w:pStyle w:val="af5"/>
      </w:pPr>
      <w:r>
        <w:rPr>
          <w:rFonts w:hint="eastAsia"/>
        </w:rPr>
        <w:t xml:space="preserve">富山城跡では、小型品の見込「指ナデ」の比率がRS3-SD54で高い。一方、小型品・大型品ともに見込「無調整」の比率は両遺構で半数以上を占め、特にRS2-SK705で顕著である。RS3-SD54にはRS2-SK705に先行する土師器皿を含まれていると理解できる</w:t>
      </w:r>
      <w:r>
        <w:rPr>
          <w:rStyle w:val="aff4"/>
        </w:rPr>
        <w:footnoteReference w:id="63"/>
      </w:r>
      <w:r>
        <w:t xml:space="preserve">。</w:t>
      </w:r>
    </w:p>
    <w:p>
      <w:pPr>
        <w:pStyle w:val="CaptionedFigure"/>
      </w:pPr>
      <w:r>
        <w:drawing>
          <wp:inline>
            <wp:extent cx="5219999" cy="2657864"/>
            <wp:effectExtent b="0" l="0" r="0" t="0"/>
            <wp:docPr descr="Figure 1.8: 石名田木舟遺跡と富山城跡の調整。" title="" id="65" name="Picture"/>
            <a:graphic>
              <a:graphicData uri="http://schemas.openxmlformats.org/drawingml/2006/picture">
                <pic:pic>
                  <pic:nvPicPr>
                    <pic:cNvPr descr="analysis/figures/8_band.png" id="66" name="Picture"/>
                    <pic:cNvPicPr>
                      <a:picLocks noChangeArrowheads="1" noChangeAspect="1"/>
                    </pic:cNvPicPr>
                  </pic:nvPicPr>
                  <pic:blipFill>
                    <a:blip r:embed="rId64"/>
                    <a:stretch>
                      <a:fillRect/>
                    </a:stretch>
                  </pic:blipFill>
                  <pic:spPr bwMode="auto">
                    <a:xfrm>
                      <a:off x="0" y="0"/>
                      <a:ext cx="5219999" cy="2657864"/>
                    </a:xfrm>
                    <a:prstGeom prst="rect">
                      <a:avLst/>
                    </a:prstGeom>
                    <a:noFill/>
                    <a:ln w="9525">
                      <a:noFill/>
                      <a:headEnd/>
                      <a:tailEnd/>
                    </a:ln>
                  </pic:spPr>
                </pic:pic>
              </a:graphicData>
            </a:graphic>
          </wp:inline>
        </w:drawing>
      </w:r>
    </w:p>
    <w:p>
      <w:pPr>
        <w:pStyle w:val="ImageCaption"/>
      </w:pPr>
      <w:bookmarkStart w:id="67" w:name="fig:bar-plot"/>
      <w:bookmarkEnd w:id="67"/>
      <w:r>
        <w:t xml:space="preserve">Figure 1.8: </w:t>
      </w:r>
      <w:r>
        <w:rPr>
          <w:rFonts w:hint="eastAsia"/>
        </w:rPr>
        <w:t xml:space="preserve">石名田木舟遺跡と富山城跡の調整。</w:t>
      </w:r>
    </w:p>
    <w:bookmarkEnd w:id="68"/>
    <w:bookmarkEnd w:id="69"/>
    <w:bookmarkStart w:id="70" w:name="考察"/>
    <w:p>
      <w:pPr>
        <w:pStyle w:val="10"/>
      </w:pPr>
      <w:r>
        <w:rPr>
          <w:rStyle w:val="SectionNumber"/>
        </w:rPr>
        <w:t xml:space="preserve">2</w:t>
      </w:r>
      <w:r>
        <w:tab/>
      </w:r>
      <w:r>
        <w:rPr>
          <w:rFonts w:hint="eastAsia"/>
        </w:rPr>
        <w:t xml:space="preserve">考察</w:t>
      </w:r>
    </w:p>
    <w:p>
      <w:pPr>
        <w:pStyle w:val="FirstParagraph"/>
      </w:pPr>
      <w:r>
        <w:rPr>
          <w:rFonts w:hint="eastAsia"/>
        </w:rPr>
        <w:t xml:space="preserve">楕円フーリエ解析に基づく主成分分析および平均的な形の比較結果から、富山の京都系土師器皿は京都9C段階の影響を強く受けて成立したと考えられる。</w:t>
      </w:r>
    </w:p>
    <w:p>
      <w:pPr>
        <w:pStyle w:val="af5"/>
      </w:pPr>
      <w:r>
        <w:rPr>
          <w:rFonts w:hint="eastAsia"/>
        </w:rPr>
        <w:t xml:space="preserve">まず、15世紀後半の石名田木舟遺跡F3-SD7030では、京都9C段階の土師器皿と密接な関係を持ち、特に中大型品において京都の影響が顕著に認められる。一方で、小型品については口径分布や調整に京都との相違がみられ、さらにへそ皿が少ないことから、京都の情報を直接的に踏襲していなかったと推測される。</w:t>
      </w:r>
    </w:p>
    <w:p>
      <w:pPr>
        <w:pStyle w:val="af5"/>
      </w:pPr>
      <w:r>
        <w:rPr>
          <w:rFonts w:hint="eastAsia"/>
        </w:rPr>
        <w:t xml:space="preserve">次に、石名田木舟遺跡F3-SD7030よりも後出のF3-SD7003までの資料では、調整に変化が認められることから、この段階までは京都の影響が及んでいたと考えられる。しかし、16世紀に入ると、形が京都から乖離し、調整も単純化（退化）傾向が明瞭となる。特に16世紀後半の石名田木舟遺跡では、主要な型式が京都系土師器皿からTKに変化している。このことは、京都からの影響力が弱まり、富山独自の発展過程へと移行したことを示している。</w:t>
      </w:r>
    </w:p>
    <w:bookmarkEnd w:id="70"/>
    <w:bookmarkStart w:id="85" w:name="結論"/>
    <w:p>
      <w:pPr>
        <w:pStyle w:val="10"/>
      </w:pPr>
      <w:r>
        <w:rPr>
          <w:rStyle w:val="SectionNumber"/>
        </w:rPr>
        <w:t xml:space="preserve">3</w:t>
      </w:r>
      <w:r>
        <w:tab/>
      </w:r>
      <w:r>
        <w:rPr>
          <w:rFonts w:hint="eastAsia"/>
        </w:rPr>
        <w:t xml:space="preserve">結論</w:t>
      </w:r>
    </w:p>
    <w:p>
      <w:pPr>
        <w:pStyle w:val="FirstParagraph"/>
      </w:pPr>
      <w:r>
        <w:rPr>
          <w:rFonts w:hint="eastAsia"/>
        </w:rPr>
        <w:t xml:space="preserve">本稿では、Rを用いて中世土師器皿の分析事例を提示した。幾何学的形態測定学による断面形状の分析、口径分布の統計的比較、さらに定性データの可視化を組み合わせることで、従来の型式分類を定量的に補強するとともに、地域間や遺跡間の比較をより明示することが可能であることを示した。</w:t>
      </w:r>
    </w:p>
    <w:p>
      <w:pPr>
        <w:pStyle w:val="af5"/>
      </w:pPr>
      <w:r>
        <w:rPr>
          <w:rFonts w:hint="eastAsia"/>
        </w:rPr>
        <w:t xml:space="preserve">方法論的に重要なのは、第一に、Rで記述したスクリプトを公開することで、分析の再現性と透明性を担保できる点である。第二に、幾何学的形態測定学を導入することで、従来は定性的な記述または直線的な距離で表現してきた形そのものの違いを比較可能な点にある。第三は、可視化を組み合わせることで、結果を解釈に直結する資料の傾向や差異を明示できる。</w:t>
      </w:r>
    </w:p>
    <w:p>
      <w:pPr>
        <w:pStyle w:val="af5"/>
      </w:pPr>
      <w:r>
        <w:rPr>
          <w:rFonts w:hint="eastAsia"/>
        </w:rPr>
        <w:t xml:space="preserve">これらのメリットは、土器以外の資料や異なる時期・地域の資料にも応用可能である。さらにデータとコードを共有することで、個別の研究事例を超えた比較や連携も可能となりうる。</w:t>
      </w:r>
    </w:p>
    <w:bookmarkStart w:id="84" w:name="refs"/>
    <w:bookmarkStart w:id="71" w:name="ref-komori_uemura_1996"/>
    <w:p>
      <w:pPr>
        <w:pStyle w:val="Bibliography"/>
      </w:pPr>
      <w:r>
        <w:rPr>
          <w:rFonts w:hint="eastAsia"/>
        </w:rPr>
        <w:t xml:space="preserve">小森俊寛・上村憲章</w:t>
      </w:r>
      <w:r>
        <w:t xml:space="preserve"> </w:t>
      </w:r>
      <w:r>
        <w:t xml:space="preserve">	</w:t>
      </w:r>
      <w:r>
        <w:t xml:space="preserve">1996「</w:t>
      </w:r>
      <w:r>
        <w:rPr>
          <w:rFonts w:hint="eastAsia"/>
        </w:rPr>
        <w:t xml:space="preserve">京都の都市遺跡から出土する土器の編年的研究</w:t>
      </w:r>
      <w:r>
        <w:rPr>
          <w:rFonts w:hint="eastAsia"/>
        </w:rPr>
        <w:t xml:space="preserve">」『研究紀要』</w:t>
      </w:r>
      <w:r>
        <w:t xml:space="preserve">vol.</w:t>
      </w:r>
      <w:r>
        <w:t xml:space="preserve">3 </w:t>
      </w:r>
      <w:r>
        <w:rPr>
          <w:rFonts w:hint="eastAsia"/>
        </w:rPr>
        <w:t xml:space="preserve">京都市埋蔵文化財研究所</w:t>
      </w:r>
      <w:r>
        <w:t xml:space="preserve"> </w:t>
      </w:r>
    </w:p>
    <w:bookmarkEnd w:id="71"/>
    <w:bookmarkStart w:id="73" w:name="ref-ubukata_2005"/>
    <w:p>
      <w:pPr>
        <w:pStyle w:val="Bibliography"/>
      </w:pPr>
      <w:r>
        <w:rPr>
          <w:rFonts w:hint="eastAsia"/>
        </w:rPr>
        <w:t xml:space="preserve">生形貴男</w:t>
      </w:r>
      <w:r>
        <w:t xml:space="preserve"> </w:t>
      </w:r>
      <w:r>
        <w:t xml:space="preserve">	</w:t>
      </w:r>
      <w:r>
        <w:t xml:space="preserve">2005「</w:t>
      </w:r>
      <w:hyperlink r:id="rId72">
        <w:r>
          <w:rPr>
            <w:rStyle w:val="Hyperlink"/>
            <w:rFonts w:hint="eastAsia"/>
          </w:rPr>
          <w:t xml:space="preserve">現代形態測定学:</w:t>
        </w:r>
        <w:r>
          <w:rPr>
            <w:rStyle w:val="Hyperlink"/>
          </w:rPr>
          <w:t xml:space="preserve"> </w:t>
        </w:r>
        <w:r>
          <w:rPr>
            <w:rStyle w:val="Hyperlink"/>
            <w:rFonts w:hint="eastAsia"/>
          </w:rPr>
          <w:t xml:space="preserve">化石,人骨,石器等のかたちの定量・比較ツール</w:t>
        </w:r>
      </w:hyperlink>
      <w:r>
        <w:rPr>
          <w:rFonts w:hint="eastAsia"/>
        </w:rPr>
        <w:t xml:space="preserve">」『第四紀研究』</w:t>
      </w:r>
      <w:r>
        <w:t xml:space="preserve">vol.</w:t>
      </w:r>
      <w:r>
        <w:t xml:space="preserve">44, no.5 pp.297–313</w:t>
      </w:r>
    </w:p>
    <w:bookmarkEnd w:id="73"/>
    <w:bookmarkStart w:id="74" w:name="ref-takanashi_2006"/>
    <w:p>
      <w:pPr>
        <w:pStyle w:val="Bibliography"/>
      </w:pPr>
      <w:r>
        <w:rPr>
          <w:rFonts w:hint="eastAsia"/>
        </w:rPr>
        <w:t xml:space="preserve">高梨清志</w:t>
      </w:r>
      <w:r>
        <w:t xml:space="preserve"> </w:t>
      </w:r>
      <w:r>
        <w:t xml:space="preserve">	</w:t>
      </w:r>
      <w:r>
        <w:t xml:space="preserve">2006「</w:t>
      </w:r>
      <w:r>
        <w:rPr>
          <w:rFonts w:hint="eastAsia"/>
        </w:rPr>
        <w:t xml:space="preserve">富山県の様相</w:t>
      </w:r>
      <w:r>
        <w:rPr>
          <w:rFonts w:hint="eastAsia"/>
        </w:rPr>
        <w:t xml:space="preserve">」『中世北陸のカワラケと輸入陶磁器・瀬戸美濃製品』</w:t>
      </w:r>
      <w:r>
        <w:t xml:space="preserve"> </w:t>
      </w:r>
      <w:r>
        <w:rPr>
          <w:rFonts w:hint="eastAsia"/>
        </w:rPr>
        <w:t xml:space="preserve">北陸中世考古学研究会</w:t>
      </w:r>
      <w:r>
        <w:t xml:space="preserve"> pp.130–141</w:t>
      </w:r>
    </w:p>
    <w:bookmarkEnd w:id="74"/>
    <w:bookmarkStart w:id="75" w:name="ref-echizen_takanashi_2007"/>
    <w:p>
      <w:pPr>
        <w:pStyle w:val="Bibliography"/>
      </w:pPr>
      <w:r>
        <w:rPr>
          <w:rFonts w:hint="eastAsia"/>
        </w:rPr>
        <w:t xml:space="preserve">越前慎子・高梨清志</w:t>
      </w:r>
      <w:r>
        <w:t xml:space="preserve"> </w:t>
      </w:r>
      <w:r>
        <w:t xml:space="preserve">	</w:t>
      </w:r>
      <w:r>
        <w:t xml:space="preserve">2007「</w:t>
      </w:r>
      <w:r>
        <w:rPr>
          <w:rFonts w:hint="eastAsia"/>
        </w:rPr>
        <w:t xml:space="preserve">富山県の様相</w:t>
      </w:r>
      <w:r>
        <w:rPr>
          <w:rFonts w:hint="eastAsia"/>
        </w:rPr>
        <w:t xml:space="preserve">」『中世前期北陸のカワラケと輸入陶磁器・施釉陶器・瀬戸美濃製品』</w:t>
      </w:r>
      <w:r>
        <w:t xml:space="preserve"> </w:t>
      </w:r>
      <w:r>
        <w:rPr>
          <w:rFonts w:hint="eastAsia"/>
        </w:rPr>
        <w:t xml:space="preserve">北陸中世考古学研究会</w:t>
      </w:r>
      <w:r>
        <w:t xml:space="preserve"> pp.137–150</w:t>
      </w:r>
    </w:p>
    <w:bookmarkEnd w:id="75"/>
    <w:bookmarkStart w:id="76" w:name="ref-Bonhomme_2014"/>
    <w:p>
      <w:pPr>
        <w:pStyle w:val="Bibliography"/>
      </w:pPr>
      <w:r>
        <w:t xml:space="preserve">Bonhomme, V.,Picq, S.,Claude, J.,Gaucherel, C.</w:t>
      </w:r>
      <w:r>
        <w:t xml:space="preserve"> </w:t>
      </w:r>
      <w:r>
        <w:t xml:space="preserve">	</w:t>
      </w:r>
      <w:r>
        <w:t xml:space="preserve">2014.Momocs : Outline Analysis Using</w:t>
      </w:r>
      <w:r>
        <w:t xml:space="preserve"> </w:t>
      </w:r>
      <w:r>
        <w:t xml:space="preserve">R</w:t>
      </w:r>
      <w:r>
        <w:t xml:space="preserve">.</w:t>
      </w:r>
      <w:r>
        <w:t xml:space="preserve"> </w:t>
      </w:r>
      <w:r>
        <w:rPr>
          <w:i/>
          <w:iCs/>
        </w:rPr>
        <w:t xml:space="preserve">Journal of Statistical Software</w:t>
      </w:r>
      <w:r>
        <w:t xml:space="preserve">.</w:t>
      </w:r>
      <w:r>
        <w:t xml:space="preserve"> </w:t>
      </w:r>
      <w:r>
        <w:t xml:space="preserve">vol.</w:t>
      </w:r>
      <w:r>
        <w:t xml:space="preserve">56, no.13, pp.1–24</w:t>
      </w:r>
    </w:p>
    <w:bookmarkEnd w:id="76"/>
    <w:bookmarkStart w:id="77" w:name="ref-tamura_2017"/>
    <w:p>
      <w:pPr>
        <w:pStyle w:val="Bibliography"/>
      </w:pPr>
      <w:r>
        <w:rPr>
          <w:rFonts w:hint="eastAsia"/>
        </w:rPr>
        <w:t xml:space="preserve">野下浩司・田村光平</w:t>
      </w:r>
      <w:r>
        <w:t xml:space="preserve"> </w:t>
      </w:r>
      <w:r>
        <w:t xml:space="preserve">	</w:t>
      </w:r>
      <w:r>
        <w:t xml:space="preserve">2017「</w:t>
      </w:r>
      <w:r>
        <w:rPr>
          <w:rFonts w:hint="eastAsia"/>
        </w:rPr>
        <w:t xml:space="preserve">補遺：幾何学的形態測定学とRを使った解析例</w:t>
      </w:r>
      <w:r>
        <w:t xml:space="preserve">」『</w:t>
      </w:r>
      <w:r>
        <w:rPr>
          <w:rFonts w:hint="eastAsia"/>
        </w:rPr>
        <w:t xml:space="preserve">文化進化の考古学</w:t>
      </w:r>
      <w:r>
        <w:t xml:space="preserve">』 </w:t>
      </w:r>
      <w:r>
        <w:rPr>
          <w:rFonts w:hint="eastAsia"/>
        </w:rPr>
        <w:t xml:space="preserve">勁草書房</w:t>
      </w:r>
      <w:r>
        <w:t xml:space="preserve"> pp.177–216</w:t>
      </w:r>
    </w:p>
    <w:bookmarkEnd w:id="77"/>
    <w:bookmarkStart w:id="78" w:name="ref-horiuchi_2019"/>
    <w:p>
      <w:pPr>
        <w:pStyle w:val="Bibliography"/>
      </w:pPr>
      <w:r>
        <w:rPr>
          <w:rFonts w:hint="eastAsia"/>
        </w:rPr>
        <w:t xml:space="preserve">堀内大介</w:t>
      </w:r>
      <w:r>
        <w:t xml:space="preserve"> </w:t>
      </w:r>
      <w:r>
        <w:t xml:space="preserve">	</w:t>
      </w:r>
      <w:r>
        <w:t xml:space="preserve">2019「</w:t>
      </w:r>
      <w:r>
        <w:rPr>
          <w:rFonts w:hint="eastAsia"/>
        </w:rPr>
        <w:t xml:space="preserve">越中における近世成立期の土師器皿の諸様相：富山城跡出土資料から</w:t>
      </w:r>
      <w:r>
        <w:rPr>
          <w:rFonts w:hint="eastAsia"/>
        </w:rPr>
        <w:t xml:space="preserve">」『北陸にみる近世成立期の土器・陶磁器様相ー城下町とその周辺遺跡の土師器皿（かわらけ）を中心にー』</w:t>
      </w:r>
      <w:r>
        <w:t xml:space="preserve"> </w:t>
      </w:r>
      <w:r>
        <w:rPr>
          <w:rFonts w:hint="eastAsia"/>
        </w:rPr>
        <w:t xml:space="preserve">（公財）石川県埋蔵文化財センター</w:t>
      </w:r>
      <w:r>
        <w:t xml:space="preserve"> pp.43–69</w:t>
      </w:r>
    </w:p>
    <w:bookmarkEnd w:id="78"/>
    <w:bookmarkStart w:id="79" w:name="ref-iwase_2019"/>
    <w:p>
      <w:pPr>
        <w:pStyle w:val="Bibliography"/>
      </w:pPr>
      <w:r>
        <w:rPr>
          <w:rFonts w:hint="eastAsia"/>
        </w:rPr>
        <w:t xml:space="preserve">岩瀬由美</w:t>
      </w:r>
      <w:r>
        <w:t xml:space="preserve"> </w:t>
      </w:r>
      <w:r>
        <w:t xml:space="preserve">	</w:t>
      </w:r>
      <w:r>
        <w:t xml:space="preserve">2019「</w:t>
      </w:r>
      <w:r>
        <w:rPr>
          <w:rFonts w:hint="eastAsia"/>
        </w:rPr>
        <w:t xml:space="preserve">加賀・能登における15世紀後半〜17世紀の土器・陶磁器様相</w:t>
      </w:r>
      <w:r>
        <w:rPr>
          <w:rFonts w:hint="eastAsia"/>
        </w:rPr>
        <w:t xml:space="preserve">」『北陸にみる近世成立期の土器・陶磁器様相ー城下町とその周辺遺跡の土師器皿（かわらけ）を中心にー』</w:t>
      </w:r>
      <w:r>
        <w:t xml:space="preserve"> </w:t>
      </w:r>
      <w:r>
        <w:rPr>
          <w:rFonts w:hint="eastAsia"/>
        </w:rPr>
        <w:t xml:space="preserve">（公財）石川県埋蔵文化財センター</w:t>
      </w:r>
      <w:r>
        <w:t xml:space="preserve"> pp.71–102</w:t>
      </w:r>
    </w:p>
    <w:bookmarkEnd w:id="79"/>
    <w:bookmarkStart w:id="80" w:name="ref-matsui_2019"/>
    <w:p>
      <w:pPr>
        <w:pStyle w:val="Bibliography"/>
      </w:pPr>
      <w:r>
        <w:rPr>
          <w:rFonts w:hint="eastAsia"/>
        </w:rPr>
        <w:t xml:space="preserve">松井広信</w:t>
      </w:r>
      <w:r>
        <w:t xml:space="preserve"> </w:t>
      </w:r>
      <w:r>
        <w:t xml:space="preserve">	</w:t>
      </w:r>
      <w:r>
        <w:t xml:space="preserve">2019「</w:t>
      </w:r>
      <w:r>
        <w:rPr>
          <w:rFonts w:hint="eastAsia"/>
        </w:rPr>
        <w:t xml:space="preserve">中世土師器皿の楕円フーリエ解析</w:t>
      </w:r>
      <w:r>
        <w:rPr>
          <w:rFonts w:hint="eastAsia"/>
        </w:rPr>
        <w:t xml:space="preserve">」『中近世陶磁器の考古学』</w:t>
      </w:r>
      <w:r>
        <w:t xml:space="preserve">vol.</w:t>
      </w:r>
      <w:r>
        <w:t xml:space="preserve">11 </w:t>
      </w:r>
      <w:r>
        <w:rPr>
          <w:rFonts w:hint="eastAsia"/>
        </w:rPr>
        <w:t xml:space="preserve">雄山閣</w:t>
      </w:r>
      <w:r>
        <w:t xml:space="preserve"> pp.37–54</w:t>
      </w:r>
    </w:p>
    <w:bookmarkEnd w:id="80"/>
    <w:bookmarkStart w:id="81" w:name="ref-morishima_2019"/>
    <w:p>
      <w:pPr>
        <w:pStyle w:val="Bibliography"/>
      </w:pPr>
      <w:r>
        <w:rPr>
          <w:rFonts w:hint="eastAsia"/>
        </w:rPr>
        <w:t xml:space="preserve">森島康雄</w:t>
      </w:r>
      <w:r>
        <w:t xml:space="preserve"> </w:t>
      </w:r>
      <w:r>
        <w:t xml:space="preserve">	</w:t>
      </w:r>
      <w:r>
        <w:t xml:space="preserve">2019「</w:t>
      </w:r>
      <w:r>
        <w:rPr>
          <w:rFonts w:hint="eastAsia"/>
        </w:rPr>
        <w:t xml:space="preserve">京都</w:t>
      </w:r>
      <w:r>
        <w:rPr>
          <w:rFonts w:hint="eastAsia"/>
        </w:rPr>
        <w:t xml:space="preserve">」『北陸にみる近世成立期の土器・陶磁器様相ー城下町とその周辺遺跡の土師器皿（かわらけ）を中心にー』</w:t>
      </w:r>
      <w:r>
        <w:t xml:space="preserve"> </w:t>
      </w:r>
      <w:r>
        <w:rPr>
          <w:rFonts w:hint="eastAsia"/>
        </w:rPr>
        <w:t xml:space="preserve">（公財）石川県埋蔵文化財センター</w:t>
      </w:r>
      <w:r>
        <w:t xml:space="preserve"> pp.1–14</w:t>
      </w:r>
    </w:p>
    <w:bookmarkEnd w:id="81"/>
    <w:bookmarkStart w:id="82" w:name="ref-hirao_2019"/>
    <w:p>
      <w:pPr>
        <w:pStyle w:val="Bibliography"/>
      </w:pPr>
      <w:r>
        <w:rPr>
          <w:rFonts w:hint="eastAsia"/>
        </w:rPr>
        <w:t xml:space="preserve">平尾正幸</w:t>
      </w:r>
      <w:r>
        <w:t xml:space="preserve"> </w:t>
      </w:r>
      <w:r>
        <w:t xml:space="preserve">	</w:t>
      </w:r>
      <w:r>
        <w:t xml:space="preserve">2019「</w:t>
      </w:r>
      <w:r>
        <w:rPr>
          <w:rFonts w:hint="eastAsia"/>
        </w:rPr>
        <w:t xml:space="preserve">土師器再考</w:t>
      </w:r>
      <w:r>
        <w:rPr>
          <w:rFonts w:hint="eastAsia"/>
        </w:rPr>
        <w:t xml:space="preserve">」『洛史</w:t>
      </w:r>
      <w:r>
        <w:t xml:space="preserve"> : </w:t>
      </w:r>
      <w:r>
        <w:rPr>
          <w:rFonts w:hint="eastAsia"/>
        </w:rPr>
        <w:t xml:space="preserve">研究紀要』no.12</w:t>
      </w:r>
      <w:r>
        <w:t xml:space="preserve"> </w:t>
      </w:r>
      <w:r>
        <w:rPr>
          <w:rFonts w:hint="eastAsia"/>
        </w:rPr>
        <w:t xml:space="preserve">京都市埋蔵文化財研究所</w:t>
      </w:r>
      <w:r>
        <w:t xml:space="preserve"> pp.9–150</w:t>
      </w:r>
    </w:p>
    <w:bookmarkEnd w:id="82"/>
    <w:bookmarkStart w:id="83" w:name="ref-matsui_2022"/>
    <w:p>
      <w:pPr>
        <w:pStyle w:val="Bibliography"/>
      </w:pPr>
      <w:r>
        <w:rPr>
          <w:rFonts w:hint="eastAsia"/>
        </w:rPr>
        <w:t xml:space="preserve">松井広信</w:t>
      </w:r>
      <w:r>
        <w:t xml:space="preserve"> </w:t>
      </w:r>
      <w:r>
        <w:t xml:space="preserve">	</w:t>
      </w:r>
      <w:r>
        <w:t xml:space="preserve">2022「</w:t>
      </w:r>
      <w:r>
        <w:rPr>
          <w:rFonts w:hint="eastAsia"/>
        </w:rPr>
        <w:t xml:space="preserve">富山県における京都系土師器皿の受容と展開：統計解析言語Rを利用した考古学的研究</w:t>
      </w:r>
      <w:r>
        <w:rPr>
          <w:rFonts w:hint="eastAsia"/>
        </w:rPr>
        <w:t xml:space="preserve">」『金沢大学考古学紀要』no.43</w:t>
      </w:r>
      <w:r>
        <w:t xml:space="preserve"> </w:t>
      </w:r>
      <w:r>
        <w:rPr>
          <w:rFonts w:hint="eastAsia"/>
        </w:rPr>
        <w:t xml:space="preserve">金沢大学人文学類考古学研究室</w:t>
      </w:r>
      <w:r>
        <w:t xml:space="preserve"> pp.9–22</w:t>
      </w:r>
    </w:p>
    <w:bookmarkEnd w:id="83"/>
    <w:bookmarkEnd w:id="84"/>
    <w:bookmarkEnd w:id="85"/>
    <w:sectPr w:rsidR="00135299" w:rsidSect="000F6B1F">
      <w:footerReference r:id="rId9" w:type="default"/>
      <w:endnotePr>
        <w:numFmt w:val="decimal"/>
      </w:endnotePr>
      <w:type w:val="continuous"/>
      <w:pgSz w:code="9" w:h="16838" w:w="11906"/>
      <w:pgMar w:bottom="1758" w:footer="567" w:gutter="0" w:header="851" w:left="1503" w:right="1503" w:top="1758"/>
      <w:cols w:space="425"/>
      <w:docGrid w:charSpace="-620" w:linePitch="380"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swiss"/>
    <w:pitch w:val="variable"/>
    <w:sig w:usb0="E00002FF" w:usb1="2AC7FDFF" w:usb2="00000016" w:usb3="00000000" w:csb0="0002009F" w:csb1="00000000"/>
  </w:font>
  <w:font w:name="ヒラギノ明朝 ProN W3">
    <w:altName w:val="ＭＳ 明朝"/>
    <w:panose1 w:val="02020300000000000000"/>
    <w:charset w:val="80"/>
    <w:family w:val="roman"/>
    <w:pitch w:val="variable"/>
    <w:sig w:usb0="E00002FF" w:usb1="7AC7FFFF" w:usb2="00000012" w:usb3="00000000" w:csb0="0002000D" w:csb1="00000000"/>
  </w:font>
  <w:font w:name="HiraginoSans-W3">
    <w:altName w:val="游ゴシック"/>
    <w:panose1 w:val="020B0300000000000000"/>
    <w:charset w:val="80"/>
    <w:family w:val="swiss"/>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79277649"/>
      <w:docPartObj>
        <w:docPartGallery w:val="Page Numbers (Bottom of Page)"/>
        <w:docPartUnique/>
      </w:docPartObj>
    </w:sdtPr>
    <w:sdtContent>
      <w:p w:rsidR="0039525F" w:rsidRPr="009A781E" w:rsidRDefault="0039525F" w:rsidP="0039525F">
        <w:pPr>
          <w:pStyle w:val="ac"/>
          <w:jc w:val="center"/>
        </w:pPr>
        <w:r w:rsidRPr="009A781E">
          <w:fldChar w:fldCharType="begin"/>
        </w:r>
        <w:r w:rsidRPr="009A781E">
          <w:instrText>PAGE   \* MERGEFORMAT</w:instrText>
        </w:r>
        <w:r w:rsidRPr="009A781E">
          <w:fldChar w:fldCharType="separate"/>
        </w:r>
        <w:r w:rsidR="003A2EBD" w:rsidRPr="009A781E">
          <w:t>1</w:t>
        </w:r>
        <w:r w:rsidRPr="009A781E">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aff2"/>
      </w:pPr>
      <w:r>
        <w:rPr>
          <w:rStyle w:val="aff4"/>
        </w:rPr>
        <w:footnoteRef/>
      </w:r>
      <w:r>
        <w:t xml:space="preserve"> </w:t>
      </w:r>
      <w:r>
        <w:rPr>
          <w:rFonts w:hint="eastAsia"/>
        </w:rPr>
        <w:t xml:space="preserve">木舟城跡の城下町遺跡であり、天正13年（1586）を上限とする。</w:t>
      </w:r>
    </w:p>
  </w:footnote>
  <w:footnote w:id="21">
    <w:p>
      <w:pPr>
        <w:pStyle w:val="aff2"/>
      </w:pPr>
      <w:r>
        <w:rPr>
          <w:rStyle w:val="aff4"/>
        </w:rPr>
        <w:footnoteRef/>
      </w:r>
      <w:r>
        <w:t xml:space="preserve"> </w:t>
      </w:r>
      <w:r>
        <w:rPr>
          <w:rFonts w:hint="eastAsia"/>
        </w:rPr>
        <w:t xml:space="preserve">岩瀬は京都系土師器皿の特徴を4点提示している。①体部は緩やかに開き、口縁端部をつまみ上げる、または端部内面にヨコナデによる面を形成する。外面は口縁部付近のみをヨコナデする。②内面調整の結果、内底面に凸圏線や凹線が観察される個体がある。内面調整は小型品に「の」字状ナデ、中型品以上に「2」字状ナデを施すものがある。③小・中・大・特大の法量がみられる。小皿にはヘソ皿を含む。④模倣が形骸化したものがみられる。</w:t>
      </w:r>
    </w:p>
  </w:footnote>
  <w:footnote w:id="22">
    <w:p>
      <w:pPr>
        <w:pStyle w:val="aff2"/>
      </w:pPr>
      <w:r>
        <w:rPr>
          <w:rStyle w:val="aff4"/>
        </w:rPr>
        <w:footnoteRef/>
      </w:r>
      <w:r>
        <w:t xml:space="preserve"> </w:t>
      </w:r>
      <w:r>
        <w:rPr>
          <w:rFonts w:hint="eastAsia"/>
        </w:rPr>
        <w:t xml:space="preserve">形が明らかに異なるヘソ皿（Sh）は除外した。</w:t>
      </w:r>
    </w:p>
  </w:footnote>
  <w:footnote w:id="35">
    <w:p>
      <w:pPr>
        <w:pStyle w:val="aff2"/>
      </w:pPr>
      <w:r>
        <w:rPr>
          <w:rStyle w:val="aff4"/>
        </w:rPr>
        <w:footnoteRef/>
      </w:r>
      <w:r>
        <w:t xml:space="preserve"> </w:t>
      </w:r>
      <w:r>
        <w:rPr>
          <w:rFonts w:hint="eastAsia"/>
        </w:rPr>
        <w:t xml:space="preserve">TIはB2・C地区で3点しか出土せず、胎土（焼成）や調整が不明瞭で、後段階の様相を示す。紀年銘資料と共伴することから、16世紀第4四半期まで存続していたようである。</w:t>
      </w:r>
    </w:p>
  </w:footnote>
  <w:footnote w:id="51">
    <w:p>
      <w:pPr>
        <w:pStyle w:val="aff2"/>
      </w:pPr>
      <w:r>
        <w:rPr>
          <w:rStyle w:val="aff4"/>
        </w:rPr>
        <w:footnoteRef/>
      </w:r>
      <w:r>
        <w:t xml:space="preserve"> </w:t>
      </w:r>
      <w:r>
        <w:rPr>
          <w:rFonts w:hint="eastAsia"/>
        </w:rPr>
        <w:t xml:space="preserve">変動係数(coefficient</w:t>
      </w:r>
      <w:r>
        <w:t xml:space="preserve"> of</w:t>
      </w:r>
      <w:r>
        <w:t xml:space="preserve"> </w:t>
      </w:r>
      <w:r>
        <w:rPr>
          <w:rFonts w:hint="eastAsia"/>
        </w:rPr>
        <w:t xml:space="preserve">variance)。標準偏差を平均値で割った値。データのばらつきを相対的に示すもので、単位や平均値が異なるものの比較で用いられる。</w:t>
      </w:r>
    </w:p>
  </w:footnote>
  <w:footnote w:id="52">
    <w:p>
      <w:pPr>
        <w:pStyle w:val="aff2"/>
      </w:pPr>
      <w:r>
        <w:rPr>
          <w:rStyle w:val="aff4"/>
        </w:rPr>
        <w:footnoteRef/>
      </w:r>
      <w:r>
        <w:t xml:space="preserve"> </w:t>
      </w:r>
      <w:r>
        <w:rPr>
          <w:rFonts w:hint="eastAsia"/>
        </w:rPr>
        <w:t xml:space="preserve">RS3-SD54は複数の遺構の存在や時期幅があることが示唆されている。</w:t>
      </w:r>
    </w:p>
  </w:footnote>
  <w:footnote w:id="63">
    <w:p>
      <w:pPr>
        <w:pStyle w:val="aff2"/>
      </w:pPr>
      <w:r>
        <w:rPr>
          <w:rStyle w:val="aff4"/>
        </w:rPr>
        <w:footnoteRef/>
      </w:r>
      <w:r>
        <w:t xml:space="preserve"> </w:t>
      </w:r>
      <w:r>
        <w:rPr>
          <w:rFonts w:hint="eastAsia"/>
        </w:rPr>
        <w:t xml:space="preserve">註6と同じ。</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81"/>
    <w:multiLevelType w:val="singleLevel"/>
    <w:tmpl w:val="51CC82F8"/>
    <w:lvl w:ilvl="0">
      <w:start w:val="1"/>
      <w:numFmt w:val="bullet"/>
      <w:lvlText w:val=""/>
      <w:lvlJc w:val="left"/>
      <w:pPr>
        <w:tabs>
          <w:tab w:pos="1636" w:val="num"/>
        </w:tabs>
        <w:ind w:hanging="360" w:hangingChars="200" w:left="1636" w:leftChars="600"/>
      </w:pPr>
      <w:rPr>
        <w:rFonts w:ascii="Wingdings" w:hAnsi="Wingdings" w:hint="default"/>
      </w:rPr>
    </w:lvl>
  </w:abstractNum>
  <w:abstractNum w15:restartNumberingAfterBreak="0" w:abstractNumId="1">
    <w:nsid w:val="0000A990"/>
    <w:multiLevelType w:val="multilevel"/>
    <w:tmpl w:val="5CC67430"/>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2">
    <w:nsid w:val="08D6297E"/>
    <w:multiLevelType w:val="multilevel"/>
    <w:tmpl w:val="D5B075FA"/>
    <w:numStyleLink w:val="a"/>
  </w:abstractNum>
  <w:abstractNum w15:restartNumberingAfterBreak="0" w:abstractNumId="3">
    <w:nsid w:val="1D2D0FBA"/>
    <w:multiLevelType w:val="multilevel"/>
    <w:tmpl w:val="F4EC902E"/>
    <w:styleLink w:val="1"/>
    <w:lvl w:ilvl="0">
      <w:start w:val="1"/>
      <w:numFmt w:val="decimalFullWidth"/>
      <w:lvlText w:val="%1"/>
      <w:lvlJc w:val="left"/>
      <w:pPr>
        <w:ind w:hanging="480" w:left="480"/>
      </w:pPr>
      <w:rPr>
        <w:rFonts w:ascii="ＭＳ ゴシック" w:cs="ＭＳ ゴシック" w:eastAsia="ＭＳ ゴシック" w:hAnsi="ＭＳ ゴシック" w:hint="eastAsia"/>
        <w:b w:val="0"/>
        <w:i w:val="0"/>
        <w:sz w:val="21"/>
        <w:szCs w:val="24"/>
      </w:rPr>
    </w:lvl>
    <w:lvl w:ilvl="1">
      <w:start w:val="1"/>
      <w:numFmt w:val="decimal"/>
      <w:lvlText w:val="(%2)"/>
      <w:lvlJc w:val="left"/>
      <w:pPr>
        <w:ind w:hanging="480" w:left="480"/>
      </w:pPr>
      <w:rPr>
        <w:rFonts w:ascii="ＭＳ 明朝" w:eastAsia="ＭＳ 明朝" w:hAnsi="ＭＳ 明朝" w:hint="eastAsia"/>
        <w:b w:val="0"/>
        <w:i w:val="0"/>
        <w:sz w:val="21"/>
      </w:rPr>
    </w:lvl>
    <w:lvl w:ilvl="2">
      <w:start w:val="1"/>
      <w:numFmt w:val="decimalEnclosedCircle"/>
      <w:lvlText w:val="%3"/>
      <w:lvlJc w:val="left"/>
      <w:pPr>
        <w:ind w:hanging="397" w:left="482"/>
      </w:pPr>
      <w:rPr>
        <w:rFonts w:hint="eastAsia"/>
      </w:rPr>
    </w:lvl>
    <w:lvl w:ilvl="3">
      <w:start w:val="1"/>
      <w:numFmt w:val="aiueoFullWidth"/>
      <w:lvlText w:val="%4"/>
      <w:lvlJc w:val="left"/>
      <w:pPr>
        <w:ind w:hanging="397" w:left="482"/>
      </w:pPr>
      <w:rPr>
        <w:rFonts w:ascii="ＭＳ 明朝" w:eastAsia="ＭＳ 明朝" w:hint="eastAsia"/>
        <w:b w:val="0"/>
        <w:i w:val="0"/>
        <w:sz w:val="24"/>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tabs>
          <w:tab w:pos="3402" w:val="num"/>
        </w:tabs>
        <w:ind w:hanging="1700" w:left="5102"/>
      </w:pPr>
      <w:rPr>
        <w:rFonts w:hint="eastAsia"/>
      </w:rPr>
    </w:lvl>
  </w:abstractNum>
  <w:abstractNum w15:restartNumberingAfterBreak="0" w:abstractNumId="4">
    <w:nsid w:val="20341A5B"/>
    <w:multiLevelType w:val="multilevel"/>
    <w:tmpl w:val="D5B075FA"/>
    <w:numStyleLink w:val="a"/>
  </w:abstractNum>
  <w:abstractNum w15:restartNumberingAfterBreak="0" w:abstractNumId="5">
    <w:nsid w:val="25765250"/>
    <w:multiLevelType w:val="multilevel"/>
    <w:tmpl w:val="A7A857F4"/>
    <w:styleLink w:val="2"/>
    <w:lvl w:ilvl="0">
      <w:start w:val="1"/>
      <w:numFmt w:val="decimalFullWidth"/>
      <w:lvlText w:val="%1"/>
      <w:lvlJc w:val="left"/>
      <w:pPr>
        <w:ind w:hanging="480" w:left="480"/>
      </w:pPr>
      <w:rPr>
        <w:rFonts w:ascii="ＭＳ ゴシック" w:cs="ＭＳ ゴシック" w:eastAsia="ＭＳ ゴシック" w:hAnsi="ＭＳ ゴシック" w:hint="eastAsia"/>
        <w:b w:val="0"/>
        <w:i w:val="0"/>
        <w:sz w:val="21"/>
        <w:szCs w:val="24"/>
      </w:rPr>
    </w:lvl>
    <w:lvl w:ilvl="1">
      <w:start w:val="1"/>
      <w:numFmt w:val="decimal"/>
      <w:lvlText w:val="(%2)"/>
      <w:lvlJc w:val="left"/>
      <w:pPr>
        <w:ind w:hanging="480" w:left="480"/>
      </w:pPr>
      <w:rPr>
        <w:rFonts w:ascii="ＭＳ 明朝" w:eastAsia="ＭＳ 明朝" w:hAnsi="ＭＳ 明朝" w:hint="eastAsia"/>
        <w:b w:val="0"/>
        <w:i w:val="0"/>
        <w:sz w:val="21"/>
      </w:rPr>
    </w:lvl>
    <w:lvl w:ilvl="2">
      <w:start w:val="1"/>
      <w:numFmt w:val="decimalEnclosedCircle"/>
      <w:lvlText w:val="%3"/>
      <w:lvlJc w:val="left"/>
      <w:pPr>
        <w:ind w:hanging="397" w:left="482"/>
      </w:pPr>
      <w:rPr>
        <w:rFonts w:hint="eastAsia"/>
      </w:rPr>
    </w:lvl>
    <w:lvl w:ilvl="3">
      <w:start w:val="1"/>
      <w:numFmt w:val="aiueoFullWidth"/>
      <w:lvlText w:val="%4"/>
      <w:lvlJc w:val="left"/>
      <w:pPr>
        <w:ind w:hanging="397" w:left="482"/>
      </w:pPr>
      <w:rPr>
        <w:rFonts w:ascii="ＭＳ 明朝" w:eastAsia="ＭＳ 明朝" w:hint="eastAsia"/>
        <w:b w:val="0"/>
        <w:i w:val="0"/>
        <w:sz w:val="24"/>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tabs>
          <w:tab w:pos="3402" w:val="num"/>
        </w:tabs>
        <w:ind w:hanging="1700" w:left="5102"/>
      </w:pPr>
      <w:rPr>
        <w:rFonts w:hint="eastAsia"/>
      </w:rPr>
    </w:lvl>
  </w:abstractNum>
  <w:abstractNum w15:restartNumberingAfterBreak="0" w:abstractNumId="6">
    <w:nsid w:val="339D5DAA"/>
    <w:multiLevelType w:val="hybridMultilevel"/>
    <w:tmpl w:val="6B82E76E"/>
    <w:lvl w:ilvl="0" w:tplc="5AD865BC">
      <w:start w:val="1"/>
      <w:numFmt w:val="bullet"/>
      <w:pStyle w:val="a0"/>
      <w:lvlText w:val=""/>
      <w:lvlJc w:val="left"/>
      <w:pPr>
        <w:ind w:hanging="420" w:left="530"/>
      </w:pPr>
      <w:rPr>
        <w:rFonts w:ascii="Wingdings" w:hAnsi="Wingdings" w:hint="default"/>
      </w:rPr>
    </w:lvl>
    <w:lvl w:ilvl="1" w:tentative="1" w:tplc="0409000B">
      <w:start w:val="1"/>
      <w:numFmt w:val="bullet"/>
      <w:lvlText w:val=""/>
      <w:lvlJc w:val="left"/>
      <w:pPr>
        <w:ind w:hanging="420" w:left="950"/>
      </w:pPr>
      <w:rPr>
        <w:rFonts w:ascii="Wingdings" w:hAnsi="Wingdings" w:hint="default"/>
      </w:rPr>
    </w:lvl>
    <w:lvl w:ilvl="2" w:tentative="1" w:tplc="0409000D">
      <w:start w:val="1"/>
      <w:numFmt w:val="bullet"/>
      <w:lvlText w:val=""/>
      <w:lvlJc w:val="left"/>
      <w:pPr>
        <w:ind w:hanging="420" w:left="1370"/>
      </w:pPr>
      <w:rPr>
        <w:rFonts w:ascii="Wingdings" w:hAnsi="Wingdings" w:hint="default"/>
      </w:rPr>
    </w:lvl>
    <w:lvl w:ilvl="3" w:tentative="1" w:tplc="04090001">
      <w:start w:val="1"/>
      <w:numFmt w:val="bullet"/>
      <w:lvlText w:val=""/>
      <w:lvlJc w:val="left"/>
      <w:pPr>
        <w:ind w:hanging="420" w:left="1790"/>
      </w:pPr>
      <w:rPr>
        <w:rFonts w:ascii="Wingdings" w:hAnsi="Wingdings" w:hint="default"/>
      </w:rPr>
    </w:lvl>
    <w:lvl w:ilvl="4" w:tentative="1" w:tplc="0409000B">
      <w:start w:val="1"/>
      <w:numFmt w:val="bullet"/>
      <w:lvlText w:val=""/>
      <w:lvlJc w:val="left"/>
      <w:pPr>
        <w:ind w:hanging="420" w:left="2210"/>
      </w:pPr>
      <w:rPr>
        <w:rFonts w:ascii="Wingdings" w:hAnsi="Wingdings" w:hint="default"/>
      </w:rPr>
    </w:lvl>
    <w:lvl w:ilvl="5" w:tentative="1" w:tplc="0409000D">
      <w:start w:val="1"/>
      <w:numFmt w:val="bullet"/>
      <w:lvlText w:val=""/>
      <w:lvlJc w:val="left"/>
      <w:pPr>
        <w:ind w:hanging="420" w:left="2630"/>
      </w:pPr>
      <w:rPr>
        <w:rFonts w:ascii="Wingdings" w:hAnsi="Wingdings" w:hint="default"/>
      </w:rPr>
    </w:lvl>
    <w:lvl w:ilvl="6" w:tentative="1" w:tplc="04090001">
      <w:start w:val="1"/>
      <w:numFmt w:val="bullet"/>
      <w:lvlText w:val=""/>
      <w:lvlJc w:val="left"/>
      <w:pPr>
        <w:ind w:hanging="420" w:left="3050"/>
      </w:pPr>
      <w:rPr>
        <w:rFonts w:ascii="Wingdings" w:hAnsi="Wingdings" w:hint="default"/>
      </w:rPr>
    </w:lvl>
    <w:lvl w:ilvl="7" w:tentative="1" w:tplc="0409000B">
      <w:start w:val="1"/>
      <w:numFmt w:val="bullet"/>
      <w:lvlText w:val=""/>
      <w:lvlJc w:val="left"/>
      <w:pPr>
        <w:ind w:hanging="420" w:left="3470"/>
      </w:pPr>
      <w:rPr>
        <w:rFonts w:ascii="Wingdings" w:hAnsi="Wingdings" w:hint="default"/>
      </w:rPr>
    </w:lvl>
    <w:lvl w:ilvl="8" w:tentative="1" w:tplc="0409000D">
      <w:start w:val="1"/>
      <w:numFmt w:val="bullet"/>
      <w:lvlText w:val=""/>
      <w:lvlJc w:val="left"/>
      <w:pPr>
        <w:ind w:hanging="420" w:left="3890"/>
      </w:pPr>
      <w:rPr>
        <w:rFonts w:ascii="Wingdings" w:hAnsi="Wingdings" w:hint="default"/>
      </w:rPr>
    </w:lvl>
  </w:abstractNum>
  <w:abstractNum w15:restartNumberingAfterBreak="0" w:abstractNumId="7">
    <w:nsid w:val="34D053AE"/>
    <w:multiLevelType w:val="multilevel"/>
    <w:tmpl w:val="C35427C2"/>
    <w:styleLink w:val="3"/>
    <w:lvl w:ilvl="0">
      <w:start w:val="1"/>
      <w:numFmt w:val="none"/>
      <w:lvlText w:val="%1"/>
      <w:lvlJc w:val="left"/>
      <w:pPr>
        <w:ind w:hanging="480" w:left="480"/>
      </w:pPr>
      <w:rPr>
        <w:rFonts w:ascii="ＭＳ ゴシック" w:cs="ＭＳ ゴシック" w:eastAsia="ＭＳ ゴシック" w:hAnsi="ＭＳ ゴシック" w:hint="eastAsia"/>
        <w:b w:val="0"/>
        <w:i w:val="0"/>
        <w:sz w:val="21"/>
        <w:szCs w:val="24"/>
      </w:rPr>
    </w:lvl>
    <w:lvl w:ilvl="1">
      <w:start w:val="1"/>
      <w:numFmt w:val="decimal"/>
      <w:lvlText w:val="(%2)"/>
      <w:lvlJc w:val="left"/>
      <w:pPr>
        <w:ind w:hanging="480" w:left="480"/>
      </w:pPr>
      <w:rPr>
        <w:rFonts w:ascii="ＭＳ 明朝" w:eastAsia="ＭＳ 明朝" w:hAnsi="ＭＳ 明朝" w:hint="eastAsia"/>
        <w:b w:val="0"/>
        <w:i w:val="0"/>
        <w:sz w:val="21"/>
      </w:rPr>
    </w:lvl>
    <w:lvl w:ilvl="2">
      <w:start w:val="1"/>
      <w:numFmt w:val="decimalEnclosedCircle"/>
      <w:lvlText w:val="%3"/>
      <w:lvlJc w:val="left"/>
      <w:pPr>
        <w:ind w:hanging="397" w:left="482"/>
      </w:pPr>
      <w:rPr>
        <w:rFonts w:hint="eastAsia"/>
      </w:rPr>
    </w:lvl>
    <w:lvl w:ilvl="3">
      <w:start w:val="1"/>
      <w:numFmt w:val="aiueoFullWidth"/>
      <w:lvlText w:val="%4"/>
      <w:lvlJc w:val="left"/>
      <w:pPr>
        <w:ind w:hanging="397" w:left="482"/>
      </w:pPr>
      <w:rPr>
        <w:rFonts w:ascii="ＭＳ 明朝" w:eastAsia="ＭＳ 明朝" w:hint="eastAsia"/>
        <w:b w:val="0"/>
        <w:i w:val="0"/>
        <w:sz w:val="24"/>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tabs>
          <w:tab w:pos="3402" w:val="num"/>
        </w:tabs>
        <w:ind w:hanging="1700" w:left="5102"/>
      </w:pPr>
      <w:rPr>
        <w:rFonts w:hint="eastAsia"/>
      </w:rPr>
    </w:lvl>
  </w:abstractNum>
  <w:abstractNum w15:restartNumberingAfterBreak="0" w:abstractNumId="8">
    <w:nsid w:val="362C7D5C"/>
    <w:multiLevelType w:val="multilevel"/>
    <w:tmpl w:val="D5B075FA"/>
    <w:numStyleLink w:val="a"/>
  </w:abstractNum>
  <w:abstractNum w15:restartNumberingAfterBreak="0" w:abstractNumId="9">
    <w:nsid w:val="3BEF0EC1"/>
    <w:multiLevelType w:val="multilevel"/>
    <w:tmpl w:val="E168190C"/>
    <w:lvl w:ilvl="0">
      <w:start w:val="1"/>
      <w:numFmt w:val="decimal"/>
      <w:pStyle w:val="10"/>
      <w:lvlText w:val="%1."/>
      <w:lvlJc w:val="left"/>
      <w:pPr>
        <w:ind w:hanging="480" w:left="480"/>
      </w:pPr>
      <w:rPr>
        <w:rFonts w:ascii="ＭＳ ゴシック" w:cs="ＭＳ ゴシック" w:eastAsia="ＭＳ ゴシック" w:hAnsi="ＭＳ ゴシック" w:hint="eastAsia"/>
        <w:b w:val="0"/>
        <w:i w:val="0"/>
        <w:sz w:val="21"/>
        <w:szCs w:val="24"/>
      </w:rPr>
    </w:lvl>
    <w:lvl w:ilvl="1">
      <w:start w:val="1"/>
      <w:numFmt w:val="decimal"/>
      <w:pStyle w:val="20"/>
      <w:lvlText w:val="(%2)"/>
      <w:lvlJc w:val="left"/>
      <w:pPr>
        <w:ind w:hanging="480" w:left="480"/>
      </w:pPr>
      <w:rPr>
        <w:rFonts w:ascii="ＭＳ 明朝" w:eastAsia="ＭＳ 明朝" w:hAnsi="ＭＳ 明朝" w:hint="eastAsia"/>
        <w:b w:val="0"/>
        <w:i w:val="0"/>
        <w:sz w:val="21"/>
      </w:rPr>
    </w:lvl>
    <w:lvl w:ilvl="2">
      <w:start w:val="1"/>
      <w:numFmt w:val="lowerLetter"/>
      <w:pStyle w:val="30"/>
      <w:lvlText w:val="%3."/>
      <w:lvlJc w:val="left"/>
      <w:pPr>
        <w:ind w:hanging="397" w:left="482"/>
      </w:pPr>
      <w:rPr>
        <w:rFonts w:ascii="ＭＳ 明朝" w:eastAsia="ＭＳ 明朝" w:hAnsi="ＭＳ 明朝" w:hint="eastAsia"/>
        <w:b w:val="0"/>
        <w:i w:val="0"/>
        <w:sz w:val="21"/>
      </w:rPr>
    </w:lvl>
    <w:lvl w:ilvl="3">
      <w:start w:val="1"/>
      <w:numFmt w:val="aiueoFullWidth"/>
      <w:pStyle w:val="4"/>
      <w:lvlText w:val="%4"/>
      <w:lvlJc w:val="left"/>
      <w:pPr>
        <w:ind w:hanging="397" w:left="482"/>
      </w:pPr>
      <w:rPr>
        <w:rFonts w:ascii="ＭＳ 明朝" w:eastAsia="ＭＳ 明朝" w:hint="eastAsia"/>
        <w:b w:val="0"/>
        <w:i w:val="0"/>
        <w:sz w:val="24"/>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tabs>
          <w:tab w:pos="3402" w:val="num"/>
        </w:tabs>
        <w:ind w:hanging="1700" w:left="5102"/>
      </w:pPr>
      <w:rPr>
        <w:rFonts w:hint="eastAsia"/>
      </w:rPr>
    </w:lvl>
  </w:abstractNum>
  <w:abstractNum w15:restartNumberingAfterBreak="0" w:abstractNumId="10">
    <w:nsid w:val="3FB30736"/>
    <w:multiLevelType w:val="multilevel"/>
    <w:tmpl w:val="AA8435F6"/>
    <w:styleLink w:val="40"/>
    <w:lvl w:ilvl="0">
      <w:start w:val="1"/>
      <w:numFmt w:val="none"/>
      <w:lvlText w:val="%1"/>
      <w:lvlJc w:val="left"/>
      <w:pPr>
        <w:ind w:hanging="480" w:left="480"/>
      </w:pPr>
      <w:rPr>
        <w:rFonts w:ascii="ＭＳ ゴシック" w:cs="ＭＳ ゴシック" w:eastAsia="ＭＳ ゴシック" w:hAnsi="ＭＳ ゴシック" w:hint="eastAsia"/>
        <w:b w:val="0"/>
        <w:i w:val="0"/>
        <w:sz w:val="21"/>
        <w:szCs w:val="24"/>
      </w:rPr>
    </w:lvl>
    <w:lvl w:ilvl="1">
      <w:start w:val="1"/>
      <w:numFmt w:val="decimal"/>
      <w:lvlText w:val="(%2)"/>
      <w:lvlJc w:val="left"/>
      <w:pPr>
        <w:ind w:hanging="480" w:left="480"/>
      </w:pPr>
      <w:rPr>
        <w:rFonts w:ascii="ＭＳ 明朝" w:eastAsia="ＭＳ 明朝" w:hAnsi="ＭＳ 明朝" w:hint="eastAsia"/>
        <w:b w:val="0"/>
        <w:i w:val="0"/>
        <w:sz w:val="21"/>
      </w:rPr>
    </w:lvl>
    <w:lvl w:ilvl="2">
      <w:start w:val="1"/>
      <w:numFmt w:val="lowerLetter"/>
      <w:lvlText w:val="%3."/>
      <w:lvlJc w:val="left"/>
      <w:pPr>
        <w:ind w:hanging="397" w:left="482"/>
      </w:pPr>
      <w:rPr>
        <w:rFonts w:ascii="ＭＳ 明朝" w:eastAsia="ＭＳ 明朝" w:hAnsi="ＭＳ 明朝" w:hint="eastAsia"/>
        <w:b w:val="0"/>
        <w:i w:val="0"/>
        <w:sz w:val="21"/>
      </w:rPr>
    </w:lvl>
    <w:lvl w:ilvl="3">
      <w:start w:val="1"/>
      <w:numFmt w:val="aiueoFullWidth"/>
      <w:lvlText w:val="%4"/>
      <w:lvlJc w:val="left"/>
      <w:pPr>
        <w:ind w:hanging="397" w:left="482"/>
      </w:pPr>
      <w:rPr>
        <w:rFonts w:ascii="ＭＳ 明朝" w:eastAsia="ＭＳ 明朝" w:hint="eastAsia"/>
        <w:b w:val="0"/>
        <w:i w:val="0"/>
        <w:sz w:val="24"/>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tabs>
          <w:tab w:pos="3402" w:val="num"/>
        </w:tabs>
        <w:ind w:hanging="1700" w:left="5102"/>
      </w:pPr>
      <w:rPr>
        <w:rFonts w:hint="eastAsia"/>
      </w:rPr>
    </w:lvl>
  </w:abstractNum>
  <w:abstractNum w15:restartNumberingAfterBreak="0" w:abstractNumId="11">
    <w:nsid w:val="43C63943"/>
    <w:multiLevelType w:val="multilevel"/>
    <w:tmpl w:val="84146716"/>
    <w:lvl w:ilvl="0">
      <w:start w:val="1"/>
      <w:numFmt w:val="decimalFullWidth"/>
      <w:lvlText w:val="%1"/>
      <w:lvlJc w:val="left"/>
      <w:pPr>
        <w:ind w:hanging="480" w:left="480"/>
      </w:pPr>
      <w:rPr>
        <w:rFonts w:ascii="ＭＳ ゴシック" w:cs="ＭＳ ゴシック" w:eastAsia="ＭＳ ゴシック" w:hAnsi="ＭＳ ゴシック" w:hint="eastAsia"/>
        <w:sz w:val="24"/>
        <w:szCs w:val="24"/>
      </w:rPr>
    </w:lvl>
    <w:lvl w:ilvl="1">
      <w:start w:val="1"/>
      <w:numFmt w:val="decimal"/>
      <w:lvlText w:val="(%2)"/>
      <w:lvlJc w:val="left"/>
      <w:pPr>
        <w:ind w:hanging="480" w:left="480"/>
      </w:pPr>
      <w:rPr>
        <w:rFonts w:hint="eastAsia"/>
      </w:rPr>
    </w:lvl>
    <w:lvl w:ilvl="2">
      <w:start w:val="1"/>
      <w:numFmt w:val="decimalEnclosedCircle"/>
      <w:lvlText w:val="%3"/>
      <w:lvlJc w:val="left"/>
      <w:pPr>
        <w:ind w:hanging="425" w:left="482"/>
      </w:pPr>
      <w:rPr>
        <w:rFonts w:hint="eastAsia"/>
      </w:rPr>
    </w:lvl>
    <w:lvl w:ilvl="3">
      <w:start w:val="1"/>
      <w:numFmt w:val="aiueoFullWidth"/>
      <w:lvlText w:val="%4"/>
      <w:lvlJc w:val="left"/>
      <w:pPr>
        <w:ind w:hanging="480" w:left="960"/>
      </w:pPr>
      <w:rPr>
        <w:rFonts w:ascii="ＭＳ 明朝" w:eastAsia="ＭＳ 明朝" w:hint="eastAsia"/>
        <w:b w:val="0"/>
        <w:i w:val="0"/>
        <w:sz w:val="24"/>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tabs>
          <w:tab w:pos="3402" w:val="num"/>
        </w:tabs>
        <w:ind w:hanging="1700" w:left="5102"/>
      </w:pPr>
      <w:rPr>
        <w:rFonts w:hint="eastAsia"/>
      </w:rPr>
    </w:lvl>
  </w:abstractNum>
  <w:abstractNum w15:restartNumberingAfterBreak="0" w:abstractNumId="12">
    <w:nsid w:val="45E520DB"/>
    <w:multiLevelType w:val="multilevel"/>
    <w:tmpl w:val="9ED01D02"/>
    <w:styleLink w:val="a1"/>
    <w:lvl w:ilvl="0">
      <w:start w:val="1"/>
      <w:numFmt w:val="decimalFullWidth"/>
      <w:lvlText w:val="%1"/>
      <w:lvlJc w:val="left"/>
      <w:pPr>
        <w:ind w:hanging="431" w:left="431"/>
      </w:pPr>
      <w:rPr>
        <w:rFonts w:ascii="ＭＳ ゴシック" w:eastAsia="ＭＳ ゴシック" w:hint="eastAsia"/>
        <w:b w:val="0"/>
        <w:i w:val="0"/>
        <w:sz w:val="22"/>
      </w:rPr>
    </w:lvl>
    <w:lvl w:ilvl="1">
      <w:start w:val="1"/>
      <w:numFmt w:val="decimal"/>
      <w:lvlText w:val="(%2)"/>
      <w:lvlJc w:val="left"/>
      <w:pPr>
        <w:ind w:hanging="440" w:left="440"/>
      </w:pPr>
      <w:rPr>
        <w:rFonts w:hint="eastAsia"/>
      </w:rPr>
    </w:lvl>
    <w:lvl w:ilvl="2">
      <w:start w:val="1"/>
      <w:numFmt w:val="aiueoFullWidth"/>
      <w:lvlText w:val="%3"/>
      <w:lvlJc w:val="left"/>
      <w:pPr>
        <w:ind w:hanging="327" w:left="440"/>
      </w:pPr>
      <w:rPr>
        <w:rFonts w:hint="eastAsia"/>
      </w:rPr>
    </w:lvl>
    <w:lvl w:ilvl="3">
      <w:start w:val="1"/>
      <w:numFmt w:val="aiueoFullWidth"/>
      <w:lvlText w:val="(%4)"/>
      <w:lvlJc w:val="left"/>
      <w:pPr>
        <w:ind w:hanging="493" w:left="1043"/>
      </w:pPr>
      <w:rPr>
        <w:rFonts w:hint="eastAsia"/>
      </w:rPr>
    </w:lvl>
    <w:lvl w:ilvl="4">
      <w:start w:val="1"/>
      <w:numFmt w:val="decimal"/>
      <w:pStyle w:val="5"/>
      <w:lvlText w:val="(%5)"/>
      <w:lvlJc w:val="left"/>
      <w:pPr>
        <w:ind w:hanging="372" w:left="1032"/>
      </w:pPr>
      <w:rPr>
        <w:rFonts w:hint="eastAsia"/>
      </w:rPr>
    </w:lvl>
    <w:lvl w:ilvl="5">
      <w:start w:val="1"/>
      <w:numFmt w:val="decimal"/>
      <w:lvlText w:val="(%6)"/>
      <w:lvlJc w:val="left"/>
      <w:pPr>
        <w:ind w:hanging="550" w:left="110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13">
    <w:nsid w:val="5DD21DA1"/>
    <w:multiLevelType w:val="multilevel"/>
    <w:tmpl w:val="D5B075FA"/>
    <w:numStyleLink w:val="a"/>
  </w:abstractNum>
  <w:abstractNum w15:restartNumberingAfterBreak="0" w:abstractNumId="14">
    <w:nsid w:val="65C86C9D"/>
    <w:multiLevelType w:val="multilevel"/>
    <w:tmpl w:val="D5B075FA"/>
    <w:styleLink w:val="a"/>
    <w:lvl w:ilvl="0">
      <w:start w:val="1"/>
      <w:numFmt w:val="decimalFullWidth"/>
      <w:lvlText w:val="%1"/>
      <w:lvlJc w:val="left"/>
      <w:pPr>
        <w:ind w:hanging="480" w:left="480"/>
      </w:pPr>
      <w:rPr>
        <w:rFonts w:ascii="ＭＳ ゴシック" w:cs="ＭＳ ゴシック" w:eastAsia="ＭＳ ゴシック" w:hAnsi="ＭＳ ゴシック" w:hint="eastAsia"/>
        <w:sz w:val="24"/>
        <w:szCs w:val="24"/>
      </w:rPr>
    </w:lvl>
    <w:lvl w:ilvl="1">
      <w:start w:val="1"/>
      <w:numFmt w:val="decimal"/>
      <w:lvlText w:val="(%2)"/>
      <w:lvlJc w:val="left"/>
      <w:pPr>
        <w:ind w:hanging="480" w:left="480"/>
      </w:pPr>
      <w:rPr>
        <w:rFonts w:hint="eastAsia"/>
      </w:rPr>
    </w:lvl>
    <w:lvl w:ilvl="2">
      <w:start w:val="1"/>
      <w:numFmt w:val="decimalEnclosedCircle"/>
      <w:lvlText w:val="%3"/>
      <w:lvlJc w:val="left"/>
      <w:pPr>
        <w:ind w:hanging="510" w:left="567"/>
      </w:pPr>
      <w:rPr>
        <w:rFonts w:hint="eastAsia"/>
      </w:rPr>
    </w:lvl>
    <w:lvl w:ilvl="3">
      <w:start w:val="1"/>
      <w:numFmt w:val="aiueoFullWidth"/>
      <w:lvlText w:val="%4"/>
      <w:lvlJc w:val="left"/>
      <w:pPr>
        <w:ind w:hanging="480" w:left="960"/>
      </w:pPr>
      <w:rPr>
        <w:rFonts w:ascii="ＭＳ 明朝" w:eastAsia="ＭＳ 明朝" w:hint="eastAsia"/>
        <w:b w:val="0"/>
        <w:i w:val="0"/>
        <w:sz w:val="24"/>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tabs>
          <w:tab w:pos="3402" w:val="num"/>
        </w:tabs>
        <w:ind w:hanging="1700" w:left="5102"/>
      </w:pPr>
      <w:rPr>
        <w:rFonts w:hint="eastAsia"/>
      </w:rPr>
    </w:lvl>
  </w:abstractNum>
  <w:abstractNum w15:restartNumberingAfterBreak="0" w:abstractNumId="15">
    <w:nsid w:val="66F74E94"/>
    <w:multiLevelType w:val="multilevel"/>
    <w:tmpl w:val="70140C44"/>
    <w:lvl w:ilvl="0">
      <w:start w:val="1"/>
      <w:numFmt w:val="bullet"/>
      <w:pStyle w:val="a2"/>
      <w:lvlText w:val=""/>
      <w:lvlJc w:val="left"/>
      <w:pPr>
        <w:ind w:hanging="240" w:left="720"/>
      </w:pPr>
      <w:rPr>
        <w:rFonts w:ascii="Wingdings" w:hAnsi="Wingdings" w:hint="default"/>
      </w:rPr>
    </w:lvl>
    <w:lvl w:ilvl="1">
      <w:start w:val="1"/>
      <w:numFmt w:val="bullet"/>
      <w:lvlText w:val=""/>
      <w:lvlJc w:val="left"/>
      <w:pPr>
        <w:ind w:hanging="420" w:left="950"/>
      </w:pPr>
      <w:rPr>
        <w:rFonts w:ascii="Wingdings" w:hAnsi="Wingdings" w:hint="default"/>
      </w:rPr>
    </w:lvl>
    <w:lvl w:ilvl="2">
      <w:start w:val="1"/>
      <w:numFmt w:val="bullet"/>
      <w:lvlText w:val=""/>
      <w:lvlJc w:val="left"/>
      <w:pPr>
        <w:ind w:hanging="420" w:left="1370"/>
      </w:pPr>
      <w:rPr>
        <w:rFonts w:ascii="Wingdings" w:hAnsi="Wingdings" w:hint="default"/>
      </w:rPr>
    </w:lvl>
    <w:lvl w:ilvl="3">
      <w:start w:val="1"/>
      <w:numFmt w:val="bullet"/>
      <w:lvlText w:val=""/>
      <w:lvlJc w:val="left"/>
      <w:pPr>
        <w:ind w:hanging="420" w:left="1790"/>
      </w:pPr>
      <w:rPr>
        <w:rFonts w:ascii="Wingdings" w:hAnsi="Wingdings" w:hint="default"/>
      </w:rPr>
    </w:lvl>
    <w:lvl w:ilvl="4">
      <w:start w:val="1"/>
      <w:numFmt w:val="bullet"/>
      <w:lvlText w:val=""/>
      <w:lvlJc w:val="left"/>
      <w:pPr>
        <w:ind w:hanging="420" w:left="2210"/>
      </w:pPr>
      <w:rPr>
        <w:rFonts w:ascii="Wingdings" w:hAnsi="Wingdings" w:hint="default"/>
      </w:rPr>
    </w:lvl>
    <w:lvl w:ilvl="5">
      <w:start w:val="1"/>
      <w:numFmt w:val="bullet"/>
      <w:lvlText w:val=""/>
      <w:lvlJc w:val="left"/>
      <w:pPr>
        <w:ind w:hanging="420" w:left="2630"/>
      </w:pPr>
      <w:rPr>
        <w:rFonts w:ascii="Wingdings" w:hAnsi="Wingdings" w:hint="default"/>
      </w:rPr>
    </w:lvl>
    <w:lvl w:ilvl="6">
      <w:start w:val="1"/>
      <w:numFmt w:val="bullet"/>
      <w:lvlText w:val=""/>
      <w:lvlJc w:val="left"/>
      <w:pPr>
        <w:ind w:hanging="420" w:left="3050"/>
      </w:pPr>
      <w:rPr>
        <w:rFonts w:ascii="Wingdings" w:hAnsi="Wingdings" w:hint="default"/>
      </w:rPr>
    </w:lvl>
    <w:lvl w:ilvl="7">
      <w:start w:val="1"/>
      <w:numFmt w:val="bullet"/>
      <w:lvlText w:val=""/>
      <w:lvlJc w:val="left"/>
      <w:pPr>
        <w:ind w:hanging="420" w:left="3470"/>
      </w:pPr>
      <w:rPr>
        <w:rFonts w:ascii="Wingdings" w:hAnsi="Wingdings" w:hint="default"/>
      </w:rPr>
    </w:lvl>
    <w:lvl w:ilvl="8">
      <w:start w:val="1"/>
      <w:numFmt w:val="bullet"/>
      <w:lvlText w:val=""/>
      <w:lvlJc w:val="left"/>
      <w:pPr>
        <w:ind w:hanging="420" w:left="3890"/>
      </w:pPr>
      <w:rPr>
        <w:rFonts w:ascii="Wingdings" w:hAnsi="Wingdings" w:hint="default"/>
      </w:rPr>
    </w:lvl>
  </w:abstractNum>
  <w:abstractNum w15:restartNumberingAfterBreak="0" w:abstractNumId="16">
    <w:nsid w:val="7F6C14DE"/>
    <w:multiLevelType w:val="multilevel"/>
    <w:tmpl w:val="84146716"/>
    <w:lvl w:ilvl="0">
      <w:start w:val="1"/>
      <w:numFmt w:val="decimalFullWidth"/>
      <w:lvlText w:val="%1"/>
      <w:lvlJc w:val="left"/>
      <w:pPr>
        <w:ind w:hanging="480" w:left="480"/>
      </w:pPr>
      <w:rPr>
        <w:rFonts w:ascii="ＭＳ ゴシック" w:cs="ＭＳ ゴシック" w:eastAsia="ＭＳ ゴシック" w:hAnsi="ＭＳ ゴシック" w:hint="eastAsia"/>
        <w:sz w:val="24"/>
        <w:szCs w:val="24"/>
      </w:rPr>
    </w:lvl>
    <w:lvl w:ilvl="1">
      <w:start w:val="1"/>
      <w:numFmt w:val="decimal"/>
      <w:lvlText w:val="(%2)"/>
      <w:lvlJc w:val="left"/>
      <w:pPr>
        <w:ind w:hanging="480" w:left="480"/>
      </w:pPr>
      <w:rPr>
        <w:rFonts w:hint="eastAsia"/>
      </w:rPr>
    </w:lvl>
    <w:lvl w:ilvl="2">
      <w:start w:val="1"/>
      <w:numFmt w:val="decimalEnclosedCircle"/>
      <w:lvlText w:val="%3"/>
      <w:lvlJc w:val="left"/>
      <w:pPr>
        <w:ind w:hanging="425" w:left="482"/>
      </w:pPr>
      <w:rPr>
        <w:rFonts w:hint="eastAsia"/>
      </w:rPr>
    </w:lvl>
    <w:lvl w:ilvl="3">
      <w:start w:val="1"/>
      <w:numFmt w:val="aiueoFullWidth"/>
      <w:lvlText w:val="%4"/>
      <w:lvlJc w:val="left"/>
      <w:pPr>
        <w:ind w:hanging="480" w:left="960"/>
      </w:pPr>
      <w:rPr>
        <w:rFonts w:ascii="ＭＳ 明朝" w:eastAsia="ＭＳ 明朝" w:hint="eastAsia"/>
        <w:b w:val="0"/>
        <w:i w:val="0"/>
        <w:sz w:val="24"/>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tabs>
          <w:tab w:pos="3402" w:val="num"/>
        </w:tabs>
        <w:ind w:hanging="1700" w:left="5102"/>
      </w:pPr>
      <w:rPr>
        <w:rFonts w:hint="eastAsia"/>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926771587" w:numId="1">
    <w:abstractNumId w:val="6"/>
  </w:num>
  <w:num w16cid:durableId="452016165" w:numId="2">
    <w:abstractNumId w:val="15"/>
  </w:num>
  <w:num w16cid:durableId="1605915564" w:numId="3">
    <w:abstractNumId w:val="12"/>
  </w:num>
  <w:num w16cid:durableId="229198195" w:numId="4">
    <w:abstractNumId w:val="12"/>
  </w:num>
  <w:num w16cid:durableId="1918593708" w:numId="5">
    <w:abstractNumId w:val="14"/>
  </w:num>
  <w:num w16cid:durableId="850488051" w:numId="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69601418" w:numId="7">
    <w:abstractNumId w:val="8"/>
  </w:num>
  <w:num w16cid:durableId="1271670388" w:numId="8">
    <w:abstractNumId w:val="0"/>
  </w:num>
  <w:num w16cid:durableId="1119059208" w:numId="9">
    <w:abstractNumId w:val="13"/>
  </w:num>
  <w:num w16cid:durableId="2043289210" w:numId="10">
    <w:abstractNumId w:val="2"/>
  </w:num>
  <w:num w16cid:durableId="36051718" w:numId="11">
    <w:abstractNumId w:val="4"/>
  </w:num>
  <w:num w16cid:durableId="1389066617" w:numId="12">
    <w:abstractNumId w:val="14"/>
  </w:num>
  <w:num w16cid:durableId="1521816649" w:numId="13">
    <w:abstractNumId w:val="14"/>
  </w:num>
  <w:num w16cid:durableId="945308796" w:numId="14">
    <w:abstractNumId w:val="14"/>
  </w:num>
  <w:num w16cid:durableId="1802796343" w:numId="15">
    <w:abstractNumId w:val="9"/>
  </w:num>
  <w:num w16cid:durableId="641350302" w:numId="16">
    <w:abstractNumId w:val="11"/>
  </w:num>
  <w:num w16cid:durableId="841313684" w:numId="17">
    <w:abstractNumId w:val="16"/>
  </w:num>
  <w:num w16cid:durableId="2000763199" w:numId="18">
    <w:abstractNumId w:val="3"/>
  </w:num>
  <w:num w16cid:durableId="2139953529" w:numId="19">
    <w:abstractNumId w:val="5"/>
  </w:num>
  <w:num w16cid:durableId="981496885" w:numId="20">
    <w:abstractNumId w:val="1"/>
  </w:num>
  <w:num w16cid:durableId="2025354748" w:numId="21">
    <w:abstractNumId w:val="7"/>
  </w:num>
  <w:num w16cid:durableId="1667131738" w:numId="22">
    <w:abstractNumId w:val="1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5"/>
  <w:embedSystemFonts/>
  <w:bordersDoNotSurroundHeader/>
  <w:bordersDoNotSurroundFooter/>
  <w:proofState w:grammar="clean" w:spelling="clean"/>
  <w:stylePaneFormatFilter w:allStyles="0" w:alternateStyleNames="0" w:clearFormatting="1" w:customStyles="0" w:directFormattingOnNumbering="1" w:directFormattingOnParagraphs="1" w:directFormattingOnRuns="1" w:directFormattingOnTables="1" w:headingStyles="0" w:latentStyles="0" w:numberingStyles="0" w:stylesInUse="1" w:tableStyles="0" w:top3HeadingStyles="0" w:val="1F08" w:visibleStyles="0"/>
  <w:doNotTrackMoves/>
  <w:defaultTabStop w:val="240"/>
  <w:autoHyphenation/>
  <w:drawingGridHorizontalSpacing w:val="207"/>
  <w:drawingGridVerticalSpacing w:val="19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BF9"/>
    <w:rsid w:val="0000253B"/>
    <w:rsid w:val="0000348D"/>
    <w:rsid w:val="0002016B"/>
    <w:rsid w:val="00022445"/>
    <w:rsid w:val="00022F2E"/>
    <w:rsid w:val="000246C2"/>
    <w:rsid w:val="000417C0"/>
    <w:rsid w:val="00045BF9"/>
    <w:rsid w:val="000517BB"/>
    <w:rsid w:val="00053394"/>
    <w:rsid w:val="00060271"/>
    <w:rsid w:val="000618A1"/>
    <w:rsid w:val="00062E24"/>
    <w:rsid w:val="00072A31"/>
    <w:rsid w:val="00080CB4"/>
    <w:rsid w:val="00081442"/>
    <w:rsid w:val="00084C83"/>
    <w:rsid w:val="00095CC9"/>
    <w:rsid w:val="000B1A46"/>
    <w:rsid w:val="000D4C44"/>
    <w:rsid w:val="000E2204"/>
    <w:rsid w:val="000E537E"/>
    <w:rsid w:val="000F6B1F"/>
    <w:rsid w:val="000F6FEA"/>
    <w:rsid w:val="00100513"/>
    <w:rsid w:val="00111E1A"/>
    <w:rsid w:val="001122EA"/>
    <w:rsid w:val="001124E5"/>
    <w:rsid w:val="001159DE"/>
    <w:rsid w:val="00125800"/>
    <w:rsid w:val="001303D2"/>
    <w:rsid w:val="00135299"/>
    <w:rsid w:val="00143E1C"/>
    <w:rsid w:val="00152D11"/>
    <w:rsid w:val="001719A3"/>
    <w:rsid w:val="001770C4"/>
    <w:rsid w:val="00182E44"/>
    <w:rsid w:val="001A7831"/>
    <w:rsid w:val="001A7FF9"/>
    <w:rsid w:val="001B25CE"/>
    <w:rsid w:val="001B334E"/>
    <w:rsid w:val="001B49FB"/>
    <w:rsid w:val="001B64AB"/>
    <w:rsid w:val="001B67E3"/>
    <w:rsid w:val="001B6EBF"/>
    <w:rsid w:val="001B7C20"/>
    <w:rsid w:val="001C06EF"/>
    <w:rsid w:val="001C0AB6"/>
    <w:rsid w:val="001D4452"/>
    <w:rsid w:val="001E4D2B"/>
    <w:rsid w:val="001E744E"/>
    <w:rsid w:val="001F120E"/>
    <w:rsid w:val="001F7455"/>
    <w:rsid w:val="002007AB"/>
    <w:rsid w:val="002013E9"/>
    <w:rsid w:val="002032E6"/>
    <w:rsid w:val="002060A8"/>
    <w:rsid w:val="00206760"/>
    <w:rsid w:val="002253F9"/>
    <w:rsid w:val="002279EF"/>
    <w:rsid w:val="00230AD3"/>
    <w:rsid w:val="00243020"/>
    <w:rsid w:val="00244631"/>
    <w:rsid w:val="002478F6"/>
    <w:rsid w:val="00250D69"/>
    <w:rsid w:val="0026560B"/>
    <w:rsid w:val="002677A2"/>
    <w:rsid w:val="00273AE5"/>
    <w:rsid w:val="00286D9E"/>
    <w:rsid w:val="002A05EC"/>
    <w:rsid w:val="002A3D6B"/>
    <w:rsid w:val="002A4454"/>
    <w:rsid w:val="002A7FFA"/>
    <w:rsid w:val="002B1BCD"/>
    <w:rsid w:val="002B3F2E"/>
    <w:rsid w:val="002B6559"/>
    <w:rsid w:val="002C1FF3"/>
    <w:rsid w:val="002C759B"/>
    <w:rsid w:val="00300D6C"/>
    <w:rsid w:val="00301F8E"/>
    <w:rsid w:val="00303BAC"/>
    <w:rsid w:val="0031726C"/>
    <w:rsid w:val="0032327F"/>
    <w:rsid w:val="00325CE4"/>
    <w:rsid w:val="00326D18"/>
    <w:rsid w:val="00331CFA"/>
    <w:rsid w:val="003340A3"/>
    <w:rsid w:val="003343D2"/>
    <w:rsid w:val="0033548D"/>
    <w:rsid w:val="00344952"/>
    <w:rsid w:val="00345BA5"/>
    <w:rsid w:val="003521DA"/>
    <w:rsid w:val="003529AE"/>
    <w:rsid w:val="00360924"/>
    <w:rsid w:val="00364F10"/>
    <w:rsid w:val="00365520"/>
    <w:rsid w:val="00370C4C"/>
    <w:rsid w:val="00392D94"/>
    <w:rsid w:val="0039525F"/>
    <w:rsid w:val="003A2EBD"/>
    <w:rsid w:val="003A4257"/>
    <w:rsid w:val="003B0D3F"/>
    <w:rsid w:val="003C2A59"/>
    <w:rsid w:val="003D1D62"/>
    <w:rsid w:val="003D1DD0"/>
    <w:rsid w:val="003D6F66"/>
    <w:rsid w:val="003E32FD"/>
    <w:rsid w:val="003F2830"/>
    <w:rsid w:val="003F2911"/>
    <w:rsid w:val="00400563"/>
    <w:rsid w:val="00407E70"/>
    <w:rsid w:val="004164C0"/>
    <w:rsid w:val="004279EC"/>
    <w:rsid w:val="00440E07"/>
    <w:rsid w:val="00450597"/>
    <w:rsid w:val="00453520"/>
    <w:rsid w:val="0047077A"/>
    <w:rsid w:val="0048018F"/>
    <w:rsid w:val="00487CEB"/>
    <w:rsid w:val="00487D8F"/>
    <w:rsid w:val="004A5252"/>
    <w:rsid w:val="004A5631"/>
    <w:rsid w:val="004A6620"/>
    <w:rsid w:val="004B35BC"/>
    <w:rsid w:val="004B5AC6"/>
    <w:rsid w:val="004C1448"/>
    <w:rsid w:val="004C376F"/>
    <w:rsid w:val="004C6699"/>
    <w:rsid w:val="004D0CC2"/>
    <w:rsid w:val="004E0650"/>
    <w:rsid w:val="004E511B"/>
    <w:rsid w:val="004F6C6C"/>
    <w:rsid w:val="004F7B98"/>
    <w:rsid w:val="005010C9"/>
    <w:rsid w:val="005024A7"/>
    <w:rsid w:val="00514515"/>
    <w:rsid w:val="00521992"/>
    <w:rsid w:val="005276F5"/>
    <w:rsid w:val="00535868"/>
    <w:rsid w:val="00546B7B"/>
    <w:rsid w:val="00552049"/>
    <w:rsid w:val="00556650"/>
    <w:rsid w:val="00571D0F"/>
    <w:rsid w:val="00571F70"/>
    <w:rsid w:val="00586E39"/>
    <w:rsid w:val="005A1C80"/>
    <w:rsid w:val="005A41BC"/>
    <w:rsid w:val="005B31A2"/>
    <w:rsid w:val="005B6C54"/>
    <w:rsid w:val="005C3E08"/>
    <w:rsid w:val="005C58ED"/>
    <w:rsid w:val="005D5337"/>
    <w:rsid w:val="005D69F3"/>
    <w:rsid w:val="005E3BBD"/>
    <w:rsid w:val="005E49AE"/>
    <w:rsid w:val="005E6328"/>
    <w:rsid w:val="005F2604"/>
    <w:rsid w:val="005F3BEB"/>
    <w:rsid w:val="00606424"/>
    <w:rsid w:val="00614A18"/>
    <w:rsid w:val="00614B7A"/>
    <w:rsid w:val="0062209D"/>
    <w:rsid w:val="00622ABC"/>
    <w:rsid w:val="006346D0"/>
    <w:rsid w:val="00640482"/>
    <w:rsid w:val="006514BD"/>
    <w:rsid w:val="00651D05"/>
    <w:rsid w:val="00654EE5"/>
    <w:rsid w:val="006570E1"/>
    <w:rsid w:val="00666744"/>
    <w:rsid w:val="00681862"/>
    <w:rsid w:val="00683356"/>
    <w:rsid w:val="00685B09"/>
    <w:rsid w:val="00690B1D"/>
    <w:rsid w:val="00691DF7"/>
    <w:rsid w:val="006A0FF9"/>
    <w:rsid w:val="006A13F1"/>
    <w:rsid w:val="006A5B9A"/>
    <w:rsid w:val="006C5EF0"/>
    <w:rsid w:val="006C7015"/>
    <w:rsid w:val="006D06E8"/>
    <w:rsid w:val="006D2144"/>
    <w:rsid w:val="006E75F5"/>
    <w:rsid w:val="00702E5A"/>
    <w:rsid w:val="0071374D"/>
    <w:rsid w:val="0071720B"/>
    <w:rsid w:val="00725A5C"/>
    <w:rsid w:val="007443D6"/>
    <w:rsid w:val="007532FF"/>
    <w:rsid w:val="00753C01"/>
    <w:rsid w:val="00753F59"/>
    <w:rsid w:val="00767922"/>
    <w:rsid w:val="00773A86"/>
    <w:rsid w:val="00786340"/>
    <w:rsid w:val="007A0185"/>
    <w:rsid w:val="007A0D3E"/>
    <w:rsid w:val="007A3E08"/>
    <w:rsid w:val="007A4FF9"/>
    <w:rsid w:val="007D2217"/>
    <w:rsid w:val="007D659C"/>
    <w:rsid w:val="007F28C6"/>
    <w:rsid w:val="007F484D"/>
    <w:rsid w:val="007F6286"/>
    <w:rsid w:val="007F796F"/>
    <w:rsid w:val="007F7BC5"/>
    <w:rsid w:val="0080033D"/>
    <w:rsid w:val="00805E28"/>
    <w:rsid w:val="008204C1"/>
    <w:rsid w:val="00832B57"/>
    <w:rsid w:val="00841E9B"/>
    <w:rsid w:val="00845F30"/>
    <w:rsid w:val="008536CF"/>
    <w:rsid w:val="00863EE7"/>
    <w:rsid w:val="00864F94"/>
    <w:rsid w:val="00866200"/>
    <w:rsid w:val="00870291"/>
    <w:rsid w:val="008741D4"/>
    <w:rsid w:val="008875D0"/>
    <w:rsid w:val="00891339"/>
    <w:rsid w:val="00891E57"/>
    <w:rsid w:val="00896485"/>
    <w:rsid w:val="008A36A2"/>
    <w:rsid w:val="008C33C9"/>
    <w:rsid w:val="008C5DCB"/>
    <w:rsid w:val="008D7454"/>
    <w:rsid w:val="008E0C2C"/>
    <w:rsid w:val="008E3421"/>
    <w:rsid w:val="008E75CD"/>
    <w:rsid w:val="008F206B"/>
    <w:rsid w:val="008F22D0"/>
    <w:rsid w:val="008F2667"/>
    <w:rsid w:val="00921266"/>
    <w:rsid w:val="00925AAA"/>
    <w:rsid w:val="00925E42"/>
    <w:rsid w:val="0093111D"/>
    <w:rsid w:val="00941BDE"/>
    <w:rsid w:val="00946627"/>
    <w:rsid w:val="0095599D"/>
    <w:rsid w:val="0096090C"/>
    <w:rsid w:val="00960C7F"/>
    <w:rsid w:val="00960C8A"/>
    <w:rsid w:val="00961C44"/>
    <w:rsid w:val="0097318B"/>
    <w:rsid w:val="00992F6B"/>
    <w:rsid w:val="00996478"/>
    <w:rsid w:val="009A781E"/>
    <w:rsid w:val="009B0F13"/>
    <w:rsid w:val="009D35F6"/>
    <w:rsid w:val="009E37E8"/>
    <w:rsid w:val="00A15483"/>
    <w:rsid w:val="00A2032F"/>
    <w:rsid w:val="00A3125A"/>
    <w:rsid w:val="00A37701"/>
    <w:rsid w:val="00A42476"/>
    <w:rsid w:val="00A4279B"/>
    <w:rsid w:val="00A54F4D"/>
    <w:rsid w:val="00A57E79"/>
    <w:rsid w:val="00A63EF2"/>
    <w:rsid w:val="00A70DBF"/>
    <w:rsid w:val="00A71A62"/>
    <w:rsid w:val="00A722E5"/>
    <w:rsid w:val="00A734CB"/>
    <w:rsid w:val="00A77C6F"/>
    <w:rsid w:val="00A80FF6"/>
    <w:rsid w:val="00A861CE"/>
    <w:rsid w:val="00AA1201"/>
    <w:rsid w:val="00AA1951"/>
    <w:rsid w:val="00AA4863"/>
    <w:rsid w:val="00AA507A"/>
    <w:rsid w:val="00AA7049"/>
    <w:rsid w:val="00AB2F93"/>
    <w:rsid w:val="00AB656B"/>
    <w:rsid w:val="00AC24F1"/>
    <w:rsid w:val="00AC51FD"/>
    <w:rsid w:val="00AC6892"/>
    <w:rsid w:val="00AD0E06"/>
    <w:rsid w:val="00AD1A4C"/>
    <w:rsid w:val="00AD27AC"/>
    <w:rsid w:val="00AD5ED2"/>
    <w:rsid w:val="00AE0A74"/>
    <w:rsid w:val="00AE3973"/>
    <w:rsid w:val="00AE6AE0"/>
    <w:rsid w:val="00AF2C1C"/>
    <w:rsid w:val="00AF52DF"/>
    <w:rsid w:val="00AF5562"/>
    <w:rsid w:val="00B12F11"/>
    <w:rsid w:val="00B17071"/>
    <w:rsid w:val="00B2635F"/>
    <w:rsid w:val="00B32232"/>
    <w:rsid w:val="00B428EF"/>
    <w:rsid w:val="00B43CAA"/>
    <w:rsid w:val="00B4402F"/>
    <w:rsid w:val="00B44956"/>
    <w:rsid w:val="00B5485F"/>
    <w:rsid w:val="00B61956"/>
    <w:rsid w:val="00B71BFA"/>
    <w:rsid w:val="00B7696B"/>
    <w:rsid w:val="00B848B7"/>
    <w:rsid w:val="00B84FB5"/>
    <w:rsid w:val="00B864C4"/>
    <w:rsid w:val="00BB28CE"/>
    <w:rsid w:val="00BB4CE4"/>
    <w:rsid w:val="00BC07BB"/>
    <w:rsid w:val="00BC4404"/>
    <w:rsid w:val="00BD1882"/>
    <w:rsid w:val="00BF75EC"/>
    <w:rsid w:val="00C0691C"/>
    <w:rsid w:val="00C13ED2"/>
    <w:rsid w:val="00C255E2"/>
    <w:rsid w:val="00C32264"/>
    <w:rsid w:val="00C443A1"/>
    <w:rsid w:val="00C47D44"/>
    <w:rsid w:val="00C51EA6"/>
    <w:rsid w:val="00C529B1"/>
    <w:rsid w:val="00C60C8B"/>
    <w:rsid w:val="00C60CDF"/>
    <w:rsid w:val="00C63EE8"/>
    <w:rsid w:val="00C71336"/>
    <w:rsid w:val="00C76EE8"/>
    <w:rsid w:val="00C81B6A"/>
    <w:rsid w:val="00C85D70"/>
    <w:rsid w:val="00C97DF1"/>
    <w:rsid w:val="00CA49A5"/>
    <w:rsid w:val="00CB3919"/>
    <w:rsid w:val="00CB3FBD"/>
    <w:rsid w:val="00CC0CC9"/>
    <w:rsid w:val="00CC7DFD"/>
    <w:rsid w:val="00CD4998"/>
    <w:rsid w:val="00CD7D89"/>
    <w:rsid w:val="00CE4037"/>
    <w:rsid w:val="00CE6897"/>
    <w:rsid w:val="00CF05CA"/>
    <w:rsid w:val="00CF169D"/>
    <w:rsid w:val="00CF1CA6"/>
    <w:rsid w:val="00D0196D"/>
    <w:rsid w:val="00D046D1"/>
    <w:rsid w:val="00D117DD"/>
    <w:rsid w:val="00D129EB"/>
    <w:rsid w:val="00D13CE2"/>
    <w:rsid w:val="00D17B75"/>
    <w:rsid w:val="00D25919"/>
    <w:rsid w:val="00D35A84"/>
    <w:rsid w:val="00D37379"/>
    <w:rsid w:val="00D378B5"/>
    <w:rsid w:val="00D37B00"/>
    <w:rsid w:val="00D472EA"/>
    <w:rsid w:val="00D517AD"/>
    <w:rsid w:val="00D63645"/>
    <w:rsid w:val="00D65637"/>
    <w:rsid w:val="00D65ED2"/>
    <w:rsid w:val="00D7444D"/>
    <w:rsid w:val="00D74CFA"/>
    <w:rsid w:val="00D77216"/>
    <w:rsid w:val="00D82D69"/>
    <w:rsid w:val="00DC2E06"/>
    <w:rsid w:val="00DD0A05"/>
    <w:rsid w:val="00DD5378"/>
    <w:rsid w:val="00DE0545"/>
    <w:rsid w:val="00DE5384"/>
    <w:rsid w:val="00DF1F42"/>
    <w:rsid w:val="00DF2E7B"/>
    <w:rsid w:val="00E01BF5"/>
    <w:rsid w:val="00E05BAD"/>
    <w:rsid w:val="00E2374A"/>
    <w:rsid w:val="00E2459C"/>
    <w:rsid w:val="00E440F4"/>
    <w:rsid w:val="00E52CBC"/>
    <w:rsid w:val="00E6706E"/>
    <w:rsid w:val="00E677E2"/>
    <w:rsid w:val="00E75D50"/>
    <w:rsid w:val="00E82BB5"/>
    <w:rsid w:val="00E961AC"/>
    <w:rsid w:val="00EA4142"/>
    <w:rsid w:val="00EA627C"/>
    <w:rsid w:val="00EC118B"/>
    <w:rsid w:val="00EC35DD"/>
    <w:rsid w:val="00EC5089"/>
    <w:rsid w:val="00EC7EFE"/>
    <w:rsid w:val="00ED5D04"/>
    <w:rsid w:val="00EE2640"/>
    <w:rsid w:val="00F07E23"/>
    <w:rsid w:val="00F1515E"/>
    <w:rsid w:val="00F17007"/>
    <w:rsid w:val="00F25B3E"/>
    <w:rsid w:val="00F26F5B"/>
    <w:rsid w:val="00F27B50"/>
    <w:rsid w:val="00F4297E"/>
    <w:rsid w:val="00F44154"/>
    <w:rsid w:val="00F56A7E"/>
    <w:rsid w:val="00F722C5"/>
    <w:rsid w:val="00F7370B"/>
    <w:rsid w:val="00F74701"/>
    <w:rsid w:val="00F8091D"/>
    <w:rsid w:val="00F82DFF"/>
    <w:rsid w:val="00F854A6"/>
    <w:rsid w:val="00FA4A0B"/>
    <w:rsid w:val="00FA4AA4"/>
    <w:rsid w:val="00FA4C8D"/>
    <w:rsid w:val="00FA614B"/>
    <w:rsid w:val="00FB1651"/>
    <w:rsid w:val="00FB1B61"/>
    <w:rsid w:val="00FD393A"/>
    <w:rsid w:val="00FE0C28"/>
    <w:rsid w:val="00FE37F0"/>
    <w:rsid w:val="00FE3E3F"/>
    <w:rsid w:val="00FE4C6C"/>
    <w:rsid w:val="00FF21FD"/>
    <w:rsid w:val="00FF5589"/>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1026" v:ext="edit">
      <v:textbox inset="5.85pt,.7pt,5.85pt,.7pt"/>
    </o:shapedefaults>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EastAsia" w:hAnsiTheme="minorHAnsi"/>
        <w:kern w:val="2"/>
        <w:sz w:val="21"/>
        <w:szCs w:val="21"/>
        <w:lang w:bidi="ar-SA" w:eastAsia="ja-JP"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3" w:type="paragraph">
    <w:name w:val="Normal"/>
    <w:qFormat/>
    <w:rsid w:val="00360924"/>
    <w:pPr>
      <w:widowControl w:val="0"/>
      <w:jc w:val="both"/>
    </w:pPr>
    <w:rPr>
      <w:rFonts w:ascii="ＭＳ 明朝" w:cs="ＭＳ 明朝" w:eastAsia="ＭＳ 明朝" w:hAnsi="ＭＳ 明朝"/>
    </w:rPr>
  </w:style>
  <w:style w:styleId="10" w:type="paragraph">
    <w:name w:val="heading 1"/>
    <w:basedOn w:val="a3"/>
    <w:next w:val="20"/>
    <w:link w:val="11"/>
    <w:uiPriority w:val="9"/>
    <w:qFormat/>
    <w:rsid w:val="001A7FF9"/>
    <w:pPr>
      <w:numPr>
        <w:numId w:val="15"/>
      </w:numPr>
      <w:spacing w:before="100" w:beforeLines="100"/>
      <w:outlineLvl w:val="0"/>
    </w:pPr>
    <w:rPr>
      <w:rFonts w:ascii="ＭＳ ゴシック" w:cs="ＭＳ ゴシック" w:eastAsia="ＭＳ ゴシック" w:hAnsi="ＭＳ ゴシック"/>
      <w:kern w:val="0"/>
    </w:rPr>
  </w:style>
  <w:style w:styleId="20" w:type="paragraph">
    <w:name w:val="heading 2"/>
    <w:basedOn w:val="10"/>
    <w:next w:val="30"/>
    <w:link w:val="21"/>
    <w:uiPriority w:val="9"/>
    <w:unhideWhenUsed/>
    <w:qFormat/>
    <w:rsid w:val="00045BF9"/>
    <w:pPr>
      <w:numPr>
        <w:ilvl w:val="1"/>
      </w:numPr>
      <w:spacing w:before="0" w:beforeLines="0"/>
      <w:ind w:hanging="482" w:left="482"/>
      <w:outlineLvl w:val="1"/>
    </w:pPr>
    <w:rPr>
      <w:rFonts w:ascii="ＭＳ 明朝" w:cs="ＭＳ 明朝" w:eastAsia="ＭＳ 明朝" w:hAnsi="ＭＳ 明朝"/>
    </w:rPr>
  </w:style>
  <w:style w:styleId="30" w:type="paragraph">
    <w:name w:val="heading 3"/>
    <w:basedOn w:val="20"/>
    <w:link w:val="31"/>
    <w:uiPriority w:val="9"/>
    <w:unhideWhenUsed/>
    <w:qFormat/>
    <w:rsid w:val="003521DA"/>
    <w:pPr>
      <w:numPr>
        <w:ilvl w:val="2"/>
      </w:numPr>
      <w:outlineLvl w:val="2"/>
    </w:pPr>
  </w:style>
  <w:style w:styleId="4" w:type="paragraph">
    <w:name w:val="heading 4"/>
    <w:basedOn w:val="a3"/>
    <w:next w:val="a3"/>
    <w:link w:val="41"/>
    <w:uiPriority w:val="9"/>
    <w:unhideWhenUsed/>
    <w:qFormat/>
    <w:rsid w:val="001A7FF9"/>
    <w:pPr>
      <w:keepNext/>
      <w:numPr>
        <w:ilvl w:val="3"/>
        <w:numId w:val="15"/>
      </w:numPr>
      <w:outlineLvl w:val="3"/>
    </w:pPr>
    <w:rPr>
      <w:bCs/>
    </w:rPr>
  </w:style>
  <w:style w:styleId="5" w:type="paragraph">
    <w:name w:val="heading 5"/>
    <w:basedOn w:val="a3"/>
    <w:next w:val="a3"/>
    <w:link w:val="50"/>
    <w:uiPriority w:val="9"/>
    <w:unhideWhenUsed/>
    <w:qFormat/>
    <w:rsid w:val="00925AAA"/>
    <w:pPr>
      <w:keepNext/>
      <w:numPr>
        <w:ilvl w:val="4"/>
        <w:numId w:val="4"/>
      </w:numPr>
      <w:outlineLvl w:val="4"/>
    </w:pPr>
    <w:rPr>
      <w:rFonts w:asciiTheme="majorHAnsi" w:cstheme="majorBidi" w:eastAsiaTheme="majorEastAsia" w:hAnsiTheme="majorHAnsi"/>
    </w:rPr>
  </w:style>
  <w:style w:default="1" w:styleId="a4" w:type="character">
    <w:name w:val="Default Paragraph Font"/>
    <w:uiPriority w:val="1"/>
    <w:semiHidden/>
    <w:unhideWhenUsed/>
  </w:style>
  <w:style w:default="1" w:styleId="a5" w:type="table">
    <w:name w:val="Normal Table"/>
    <w:uiPriority w:val="99"/>
    <w:semiHidden/>
    <w:unhideWhenUsed/>
    <w:tblPr>
      <w:tblInd w:type="dxa" w:w="0"/>
      <w:tblCellMar>
        <w:top w:type="dxa" w:w="0"/>
        <w:left w:type="dxa" w:w="108"/>
        <w:bottom w:type="dxa" w:w="0"/>
        <w:right w:type="dxa" w:w="108"/>
      </w:tblCellMar>
    </w:tblPr>
  </w:style>
  <w:style w:default="1" w:styleId="a6" w:type="numbering">
    <w:name w:val="No List"/>
    <w:uiPriority w:val="99"/>
    <w:semiHidden/>
    <w:unhideWhenUsed/>
  </w:style>
  <w:style w:styleId="a0" w:type="paragraph">
    <w:name w:val="List Paragraph"/>
    <w:basedOn w:val="a3"/>
    <w:uiPriority w:val="34"/>
    <w:qFormat/>
    <w:rsid w:val="00640482"/>
    <w:pPr>
      <w:numPr>
        <w:numId w:val="1"/>
      </w:numPr>
    </w:pPr>
  </w:style>
  <w:style w:customStyle="1" w:styleId="11" w:type="character">
    <w:name w:val="見出し 1 (文字)"/>
    <w:basedOn w:val="a4"/>
    <w:link w:val="10"/>
    <w:uiPriority w:val="9"/>
    <w:rsid w:val="00586E39"/>
    <w:rPr>
      <w:rFonts w:ascii="ＭＳ ゴシック" w:cs="ＭＳ ゴシック" w:eastAsia="ＭＳ ゴシック" w:hAnsi="ＭＳ ゴシック"/>
      <w:kern w:val="0"/>
    </w:rPr>
  </w:style>
  <w:style w:styleId="a7" w:type="table">
    <w:name w:val="Table Grid"/>
    <w:basedOn w:val="a5"/>
    <w:uiPriority w:val="39"/>
    <w:rsid w:val="00685B0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21" w:type="character">
    <w:name w:val="見出し 2 (文字)"/>
    <w:basedOn w:val="a4"/>
    <w:link w:val="20"/>
    <w:uiPriority w:val="9"/>
    <w:rsid w:val="00045BF9"/>
    <w:rPr>
      <w:rFonts w:ascii="ＭＳ 明朝" w:cs="ＭＳ 明朝" w:eastAsia="ＭＳ 明朝" w:hAnsi="ＭＳ 明朝"/>
      <w:kern w:val="0"/>
      <w:szCs w:val="21"/>
    </w:rPr>
  </w:style>
  <w:style w:styleId="a8" w:type="paragraph">
    <w:name w:val="Balloon Text"/>
    <w:basedOn w:val="a3"/>
    <w:link w:val="a9"/>
    <w:uiPriority w:val="99"/>
    <w:semiHidden/>
    <w:unhideWhenUsed/>
    <w:rsid w:val="004164C0"/>
    <w:rPr>
      <w:rFonts w:asciiTheme="majorHAnsi" w:cstheme="majorBidi" w:eastAsiaTheme="majorEastAsia" w:hAnsiTheme="majorHAnsi"/>
      <w:sz w:val="18"/>
      <w:szCs w:val="18"/>
    </w:rPr>
  </w:style>
  <w:style w:customStyle="1" w:styleId="a9" w:type="character">
    <w:name w:val="吹き出し (文字)"/>
    <w:basedOn w:val="a4"/>
    <w:link w:val="a8"/>
    <w:uiPriority w:val="99"/>
    <w:semiHidden/>
    <w:rsid w:val="004164C0"/>
    <w:rPr>
      <w:rFonts w:asciiTheme="majorHAnsi" w:cstheme="majorBidi" w:eastAsiaTheme="majorEastAsia" w:hAnsiTheme="majorHAnsi"/>
      <w:sz w:val="18"/>
      <w:szCs w:val="18"/>
    </w:rPr>
  </w:style>
  <w:style w:customStyle="1" w:styleId="31" w:type="character">
    <w:name w:val="見出し 3 (文字)"/>
    <w:basedOn w:val="a4"/>
    <w:link w:val="30"/>
    <w:uiPriority w:val="9"/>
    <w:rsid w:val="00250D69"/>
    <w:rPr>
      <w:rFonts w:ascii="ＭＳ 明朝" w:cs="ＭＳ 明朝" w:eastAsia="ＭＳ 明朝" w:hAnsi="ＭＳ 明朝"/>
      <w:kern w:val="0"/>
      <w:sz w:val="24"/>
      <w:szCs w:val="24"/>
    </w:rPr>
  </w:style>
  <w:style w:styleId="aa" w:type="paragraph">
    <w:name w:val="header"/>
    <w:basedOn w:val="a3"/>
    <w:link w:val="ab"/>
    <w:uiPriority w:val="99"/>
    <w:unhideWhenUsed/>
    <w:rsid w:val="0080033D"/>
    <w:pPr>
      <w:tabs>
        <w:tab w:pos="4252" w:val="center"/>
        <w:tab w:pos="8504" w:val="right"/>
      </w:tabs>
    </w:pPr>
  </w:style>
  <w:style w:customStyle="1" w:styleId="ab" w:type="character">
    <w:name w:val="ヘッダー (文字)"/>
    <w:basedOn w:val="a4"/>
    <w:link w:val="aa"/>
    <w:uiPriority w:val="99"/>
    <w:rsid w:val="0080033D"/>
    <w:rPr>
      <w:rFonts w:ascii="ＭＳ ゴシック" w:cs="ＭＳ ゴシック" w:eastAsia="ＭＳ ゴシック" w:hAnsi="ＭＳ ゴシック"/>
      <w:sz w:val="24"/>
      <w:szCs w:val="24"/>
    </w:rPr>
  </w:style>
  <w:style w:styleId="ac" w:type="paragraph">
    <w:name w:val="footer"/>
    <w:basedOn w:val="a3"/>
    <w:link w:val="ad"/>
    <w:uiPriority w:val="99"/>
    <w:unhideWhenUsed/>
    <w:rsid w:val="002007AB"/>
    <w:pPr>
      <w:tabs>
        <w:tab w:pos="4252" w:val="center"/>
        <w:tab w:pos="8504" w:val="right"/>
      </w:tabs>
    </w:pPr>
  </w:style>
  <w:style w:customStyle="1" w:styleId="ad" w:type="character">
    <w:name w:val="フッター (文字)"/>
    <w:basedOn w:val="a4"/>
    <w:link w:val="ac"/>
    <w:uiPriority w:val="99"/>
    <w:rsid w:val="002007AB"/>
    <w:rPr>
      <w:rFonts w:ascii="ＭＳ 明朝" w:cs="ＭＳ 明朝" w:eastAsia="ＭＳ 明朝" w:hAnsi="ＭＳ 明朝"/>
      <w:sz w:val="24"/>
      <w:szCs w:val="24"/>
    </w:rPr>
  </w:style>
  <w:style w:styleId="ae" w:type="character">
    <w:name w:val="annotation reference"/>
    <w:basedOn w:val="a4"/>
    <w:uiPriority w:val="99"/>
    <w:semiHidden/>
    <w:unhideWhenUsed/>
    <w:rsid w:val="00C63EE8"/>
    <w:rPr>
      <w:sz w:val="18"/>
      <w:szCs w:val="18"/>
    </w:rPr>
  </w:style>
  <w:style w:styleId="af" w:type="paragraph">
    <w:name w:val="annotation text"/>
    <w:basedOn w:val="a3"/>
    <w:link w:val="af0"/>
    <w:uiPriority w:val="99"/>
    <w:semiHidden/>
    <w:unhideWhenUsed/>
    <w:rsid w:val="00C63EE8"/>
    <w:pPr>
      <w:jc w:val="left"/>
    </w:pPr>
  </w:style>
  <w:style w:customStyle="1" w:styleId="af0" w:type="character">
    <w:name w:val="コメント文字列 (文字)"/>
    <w:basedOn w:val="a4"/>
    <w:link w:val="af"/>
    <w:uiPriority w:val="99"/>
    <w:semiHidden/>
    <w:rsid w:val="00C63EE8"/>
    <w:rPr>
      <w:rFonts w:ascii="ＭＳ ゴシック" w:cs="ＭＳ ゴシック" w:eastAsia="ＭＳ ゴシック" w:hAnsi="ＭＳ ゴシック"/>
      <w:sz w:val="24"/>
      <w:szCs w:val="24"/>
    </w:rPr>
  </w:style>
  <w:style w:styleId="af1" w:type="paragraph">
    <w:name w:val="annotation subject"/>
    <w:basedOn w:val="af"/>
    <w:next w:val="af"/>
    <w:link w:val="af2"/>
    <w:uiPriority w:val="99"/>
    <w:semiHidden/>
    <w:unhideWhenUsed/>
    <w:rsid w:val="00C63EE8"/>
    <w:rPr>
      <w:b/>
      <w:bCs/>
    </w:rPr>
  </w:style>
  <w:style w:customStyle="1" w:styleId="af2" w:type="character">
    <w:name w:val="コメント内容 (文字)"/>
    <w:basedOn w:val="af0"/>
    <w:link w:val="af1"/>
    <w:uiPriority w:val="99"/>
    <w:semiHidden/>
    <w:rsid w:val="00C63EE8"/>
    <w:rPr>
      <w:rFonts w:ascii="ＭＳ ゴシック" w:cs="ＭＳ ゴシック" w:eastAsia="ＭＳ ゴシック" w:hAnsi="ＭＳ ゴシック"/>
      <w:b/>
      <w:bCs/>
      <w:sz w:val="24"/>
      <w:szCs w:val="24"/>
    </w:rPr>
  </w:style>
  <w:style w:styleId="af3" w:type="paragraph">
    <w:name w:val="Title"/>
    <w:basedOn w:val="a3"/>
    <w:next w:val="a3"/>
    <w:link w:val="af4"/>
    <w:uiPriority w:val="1"/>
    <w:qFormat/>
    <w:rsid w:val="00E75D50"/>
    <w:pPr>
      <w:spacing w:after="100" w:afterLines="100" w:before="200" w:beforeLines="200"/>
      <w:ind w:left="300" w:leftChars="300" w:right="300" w:rightChars="300"/>
      <w:jc w:val="center"/>
      <w:outlineLvl w:val="0"/>
    </w:pPr>
    <w:rPr>
      <w:rFonts w:ascii="ＭＳ ゴシック" w:cs="ＭＳ ゴシック" w:eastAsia="ＭＳ ゴシック" w:hAnsi="ＭＳ ゴシック"/>
      <w:sz w:val="24"/>
      <w:szCs w:val="32"/>
    </w:rPr>
  </w:style>
  <w:style w:customStyle="1" w:styleId="af4" w:type="character">
    <w:name w:val="表題 (文字)"/>
    <w:basedOn w:val="a4"/>
    <w:link w:val="af3"/>
    <w:uiPriority w:val="1"/>
    <w:rsid w:val="00E75D50"/>
    <w:rPr>
      <w:rFonts w:ascii="ＭＳ ゴシック" w:cs="ＭＳ ゴシック" w:eastAsia="ＭＳ ゴシック" w:hAnsi="ＭＳ ゴシック"/>
      <w:sz w:val="24"/>
      <w:szCs w:val="32"/>
    </w:rPr>
  </w:style>
  <w:style w:customStyle="1" w:styleId="41" w:type="character">
    <w:name w:val="見出し 4 (文字)"/>
    <w:basedOn w:val="a4"/>
    <w:link w:val="4"/>
    <w:uiPriority w:val="9"/>
    <w:rsid w:val="00250D69"/>
    <w:rPr>
      <w:rFonts w:ascii="ＭＳ 明朝" w:cs="ＭＳ 明朝" w:eastAsia="ＭＳ 明朝" w:hAnsi="ＭＳ 明朝"/>
      <w:bCs/>
      <w:sz w:val="24"/>
      <w:szCs w:val="24"/>
    </w:rPr>
  </w:style>
  <w:style w:styleId="af5" w:type="paragraph">
    <w:name w:val="Body Text"/>
    <w:basedOn w:val="a3"/>
    <w:link w:val="af6"/>
    <w:uiPriority w:val="99"/>
    <w:unhideWhenUsed/>
    <w:rsid w:val="0093111D"/>
    <w:pPr>
      <w:autoSpaceDE w:val="0"/>
      <w:ind w:firstLine="100" w:firstLineChars="100"/>
    </w:pPr>
  </w:style>
  <w:style w:customStyle="1" w:styleId="af6" w:type="character">
    <w:name w:val="本文 (文字)"/>
    <w:basedOn w:val="a4"/>
    <w:link w:val="af5"/>
    <w:uiPriority w:val="99"/>
    <w:rsid w:val="0093111D"/>
    <w:rPr>
      <w:rFonts w:ascii="ＭＳ 明朝" w:cs="ＭＳ 明朝" w:eastAsia="ＭＳ 明朝" w:hAnsi="ＭＳ 明朝"/>
    </w:rPr>
  </w:style>
  <w:style w:styleId="a2" w:type="paragraph">
    <w:name w:val="List Bullet"/>
    <w:basedOn w:val="a3"/>
    <w:uiPriority w:val="99"/>
    <w:unhideWhenUsed/>
    <w:rsid w:val="00C443A1"/>
    <w:pPr>
      <w:numPr>
        <w:numId w:val="2"/>
      </w:numPr>
    </w:pPr>
  </w:style>
  <w:style w:customStyle="1" w:styleId="50" w:type="character">
    <w:name w:val="見出し 5 (文字)"/>
    <w:basedOn w:val="a4"/>
    <w:link w:val="5"/>
    <w:uiPriority w:val="9"/>
    <w:rsid w:val="00C529B1"/>
    <w:rPr>
      <w:rFonts w:asciiTheme="majorHAnsi" w:cstheme="majorBidi" w:eastAsiaTheme="majorEastAsia" w:hAnsiTheme="majorHAnsi"/>
      <w:sz w:val="24"/>
      <w:szCs w:val="24"/>
    </w:rPr>
  </w:style>
  <w:style w:styleId="af7" w:type="paragraph">
    <w:name w:val="Signature"/>
    <w:basedOn w:val="a3"/>
    <w:link w:val="af8"/>
    <w:uiPriority w:val="99"/>
    <w:unhideWhenUsed/>
    <w:rsid w:val="00045BF9"/>
    <w:pPr>
      <w:ind w:right="200" w:rightChars="200"/>
      <w:jc w:val="right"/>
    </w:pPr>
  </w:style>
  <w:style w:customStyle="1" w:styleId="af8" w:type="character">
    <w:name w:val="署名 (文字)"/>
    <w:basedOn w:val="a4"/>
    <w:link w:val="af7"/>
    <w:uiPriority w:val="99"/>
    <w:rsid w:val="00045BF9"/>
    <w:rPr>
      <w:rFonts w:ascii="ＭＳ 明朝" w:cs="ＭＳ 明朝" w:eastAsia="ＭＳ 明朝" w:hAnsi="ＭＳ 明朝"/>
      <w:szCs w:val="21"/>
    </w:rPr>
  </w:style>
  <w:style w:styleId="af9" w:type="paragraph">
    <w:name w:val="envelope address"/>
    <w:basedOn w:val="af5"/>
    <w:uiPriority w:val="99"/>
    <w:unhideWhenUsed/>
    <w:rsid w:val="00571D0F"/>
    <w:pPr>
      <w:ind w:firstLine="0" w:left="2600" w:leftChars="2600"/>
    </w:pPr>
  </w:style>
  <w:style w:styleId="22" w:type="paragraph">
    <w:name w:val="Body Text 2"/>
    <w:basedOn w:val="af5"/>
    <w:link w:val="23"/>
    <w:uiPriority w:val="99"/>
    <w:unhideWhenUsed/>
    <w:rsid w:val="00EC7EFE"/>
    <w:pPr>
      <w:ind w:left="240"/>
    </w:pPr>
  </w:style>
  <w:style w:customStyle="1" w:styleId="23" w:type="character">
    <w:name w:val="本文 2 (文字)"/>
    <w:basedOn w:val="a4"/>
    <w:link w:val="22"/>
    <w:uiPriority w:val="99"/>
    <w:rsid w:val="00EC7EFE"/>
    <w:rPr>
      <w:rFonts w:ascii="ＭＳ 明朝" w:cs="ＭＳ 明朝" w:eastAsia="ＭＳ 明朝" w:hAnsi="ＭＳ 明朝"/>
      <w:sz w:val="24"/>
      <w:szCs w:val="24"/>
    </w:rPr>
  </w:style>
  <w:style w:styleId="32" w:type="paragraph">
    <w:name w:val="Body Text 3"/>
    <w:basedOn w:val="22"/>
    <w:link w:val="33"/>
    <w:uiPriority w:val="99"/>
    <w:unhideWhenUsed/>
    <w:rsid w:val="00EC7EFE"/>
    <w:pPr>
      <w:ind w:left="480"/>
    </w:pPr>
  </w:style>
  <w:style w:customStyle="1" w:styleId="33" w:type="character">
    <w:name w:val="本文 3 (文字)"/>
    <w:basedOn w:val="a4"/>
    <w:link w:val="32"/>
    <w:uiPriority w:val="99"/>
    <w:rsid w:val="00EC7EFE"/>
    <w:rPr>
      <w:rFonts w:ascii="ＭＳ 明朝" w:cs="ＭＳ 明朝" w:eastAsia="ＭＳ 明朝" w:hAnsi="ＭＳ 明朝"/>
      <w:sz w:val="24"/>
      <w:szCs w:val="24"/>
    </w:rPr>
  </w:style>
  <w:style w:customStyle="1" w:styleId="afa" w:type="paragraph">
    <w:name w:val="本文 ４"/>
    <w:basedOn w:val="32"/>
    <w:qFormat/>
    <w:rsid w:val="007A0185"/>
    <w:pPr>
      <w:ind w:left="862"/>
    </w:pPr>
  </w:style>
  <w:style w:styleId="24" w:type="paragraph">
    <w:name w:val="List Bullet 2"/>
    <w:basedOn w:val="a2"/>
    <w:uiPriority w:val="99"/>
    <w:unhideWhenUsed/>
    <w:rsid w:val="00EA627C"/>
    <w:pPr>
      <w:ind w:hanging="238" w:left="958"/>
    </w:pPr>
  </w:style>
  <w:style w:styleId="34" w:type="paragraph">
    <w:name w:val="List Bullet 3"/>
    <w:basedOn w:val="24"/>
    <w:uiPriority w:val="99"/>
    <w:unhideWhenUsed/>
    <w:rsid w:val="00EA627C"/>
    <w:pPr>
      <w:ind w:left="1197"/>
    </w:pPr>
  </w:style>
  <w:style w:customStyle="1" w:styleId="a1" w:type="numbering">
    <w:name w:val="要綱要領"/>
    <w:uiPriority w:val="99"/>
    <w:rsid w:val="00925AAA"/>
    <w:pPr>
      <w:numPr>
        <w:numId w:val="3"/>
      </w:numPr>
    </w:pPr>
  </w:style>
  <w:style w:customStyle="1" w:styleId="a" w:type="numbering">
    <w:name w:val="復命書スタイル"/>
    <w:uiPriority w:val="99"/>
    <w:rsid w:val="00BC07BB"/>
    <w:pPr>
      <w:numPr>
        <w:numId w:val="5"/>
      </w:numPr>
    </w:pPr>
  </w:style>
  <w:style w:styleId="afb" w:type="paragraph">
    <w:name w:val="caption"/>
    <w:basedOn w:val="a3"/>
    <w:next w:val="a3"/>
    <w:uiPriority w:val="35"/>
    <w:unhideWhenUsed/>
    <w:qFormat/>
    <w:rsid w:val="001C0AB6"/>
    <w:rPr>
      <w:rFonts w:ascii="ＭＳ ゴシック" w:cs="ＭＳ ゴシック" w:eastAsia="ＭＳ ゴシック" w:hAnsi="ＭＳ ゴシック"/>
      <w:bCs/>
      <w:sz w:val="18"/>
      <w:szCs w:val="18"/>
    </w:rPr>
  </w:style>
  <w:style w:styleId="afc" w:type="paragraph">
    <w:name w:val="Revision"/>
    <w:hidden/>
    <w:uiPriority w:val="99"/>
    <w:semiHidden/>
    <w:rsid w:val="00BC4404"/>
    <w:rPr>
      <w:rFonts w:ascii="ＭＳ 明朝" w:cs="ＭＳ 明朝" w:eastAsia="ＭＳ 明朝" w:hAnsi="ＭＳ 明朝"/>
    </w:rPr>
  </w:style>
  <w:style w:customStyle="1" w:styleId="TableParagraph" w:type="paragraph">
    <w:name w:val="Table Paragraph"/>
    <w:basedOn w:val="a3"/>
    <w:uiPriority w:val="1"/>
    <w:qFormat/>
    <w:rsid w:val="00666744"/>
    <w:pPr>
      <w:autoSpaceDE w:val="0"/>
      <w:autoSpaceDN w:val="0"/>
      <w:adjustRightInd w:val="0"/>
      <w:spacing w:line="227" w:lineRule="exact"/>
      <w:ind w:left="14" w:right="3"/>
      <w:jc w:val="center"/>
    </w:pPr>
    <w:rPr>
      <w:rFonts w:ascii="ヒラギノ明朝 ProN W3" w:cs="ヒラギノ明朝 ProN W3" w:eastAsiaTheme="minorEastAsia" w:hAnsi="ヒラギノ明朝 ProN W3"/>
      <w:kern w:val="0"/>
      <w:sz w:val="24"/>
      <w:szCs w:val="24"/>
    </w:rPr>
  </w:style>
  <w:style w:styleId="afd" w:type="paragraph">
    <w:name w:val="List"/>
    <w:basedOn w:val="a3"/>
    <w:uiPriority w:val="99"/>
    <w:unhideWhenUsed/>
    <w:rsid w:val="00303BAC"/>
    <w:pPr>
      <w:adjustRightInd w:val="0"/>
      <w:snapToGrid w:val="0"/>
      <w:jc w:val="left"/>
    </w:pPr>
    <w:rPr>
      <w:sz w:val="16"/>
      <w:szCs w:val="16"/>
    </w:rPr>
  </w:style>
  <w:style w:styleId="afe" w:type="table">
    <w:name w:val="Grid Table Light"/>
    <w:basedOn w:val="a5"/>
    <w:uiPriority w:val="40"/>
    <w:rsid w:val="00303BAC"/>
    <w:tblPr>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style>
  <w:style w:styleId="35" w:type="table">
    <w:name w:val="Plain Table 3"/>
    <w:basedOn w:val="a5"/>
    <w:uiPriority w:val="43"/>
    <w:rsid w:val="00303BAC"/>
    <w:tblPr>
      <w:tblStyleRowBandSize w:val="1"/>
      <w:tblStyleColBandSize w:val="1"/>
    </w:tblPr>
    <w:tblStylePr w:type="firstRow">
      <w:rPr>
        <w:b/>
        <w:bCs/>
        <w:caps/>
      </w:rPr>
      <w:tblPr/>
      <w:tcPr>
        <w:tcBorders>
          <w:bottom w:color="7F7F7F" w:space="0" w:sz="4" w:themeColor="text1" w:themeTint="80" w:val="single"/>
        </w:tcBorders>
      </w:tcPr>
    </w:tblStylePr>
    <w:tblStylePr w:type="lastRow">
      <w:rPr>
        <w:b/>
        <w:bCs/>
        <w:caps/>
      </w:rPr>
      <w:tblPr/>
      <w:tcPr>
        <w:tcBorders>
          <w:top w:val="nil"/>
        </w:tcBorders>
      </w:tcPr>
    </w:tblStylePr>
    <w:tblStylePr w:type="firstCol">
      <w:rPr>
        <w:b/>
        <w:bCs/>
        <w:caps/>
      </w:rPr>
      <w:tblPr/>
      <w:tcPr>
        <w:tcBorders>
          <w:right w:color="7F7F7F" w:space="0" w:sz="4" w:themeColor="text1" w:themeTint="80" w:val="single"/>
        </w:tcBorders>
      </w:tcPr>
    </w:tblStylePr>
    <w:tblStylePr w:type="lastCol">
      <w:rPr>
        <w:b/>
        <w:bCs/>
        <w:caps/>
      </w:rPr>
      <w:tblPr/>
      <w:tcPr>
        <w:tcBorders>
          <w:left w:val="nil"/>
        </w:tcBorders>
      </w:tc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tblStylePr w:type="neCell">
      <w:tblPr/>
      <w:tcPr>
        <w:tcBorders>
          <w:left w:val="nil"/>
        </w:tcBorders>
      </w:tcPr>
    </w:tblStylePr>
    <w:tblStylePr w:type="nwCell">
      <w:tblPr/>
      <w:tcPr>
        <w:tcBorders>
          <w:right w:val="nil"/>
        </w:tcBorders>
      </w:tcPr>
    </w:tblStylePr>
  </w:style>
  <w:style w:styleId="25" w:type="table">
    <w:name w:val="Plain Table 2"/>
    <w:basedOn w:val="a5"/>
    <w:uiPriority w:val="42"/>
    <w:rsid w:val="00303BAC"/>
    <w:tblPr>
      <w:tblStyleRowBandSize w:val="1"/>
      <w:tblStyleColBandSize w:val="1"/>
      <w:tblBorders>
        <w:top w:color="7F7F7F" w:space="0" w:sz="4" w:themeColor="text1" w:themeTint="80" w:val="single"/>
        <w:bottom w:color="7F7F7F" w:space="0" w:sz="4" w:themeColor="text1" w:themeTint="80" w:val="single"/>
      </w:tblBorders>
    </w:tblPr>
    <w:tblStylePr w:type="firstRow">
      <w:rPr>
        <w:b/>
        <w:bCs/>
      </w:rPr>
      <w:tblPr/>
      <w:tcPr>
        <w:tcBorders>
          <w:bottom w:color="7F7F7F" w:space="0" w:sz="4" w:themeColor="text1" w:themeTint="80" w:val="single"/>
        </w:tcBorders>
      </w:tcPr>
    </w:tblStylePr>
    <w:tblStylePr w:type="lastRow">
      <w:rPr>
        <w:b/>
        <w:bCs/>
      </w:rPr>
      <w:tblPr/>
      <w:tcPr>
        <w:tcBorders>
          <w:top w:color="7F7F7F" w:space="0" w:sz="4" w:themeColor="text1" w:themeTint="80" w:val="single"/>
        </w:tcBorders>
      </w:tcPr>
    </w:tblStylePr>
    <w:tblStylePr w:type="firstCol">
      <w:rPr>
        <w:b/>
        <w:bCs/>
      </w:rPr>
    </w:tblStylePr>
    <w:tblStylePr w:type="lastCol">
      <w:rPr>
        <w:b/>
        <w:bCs/>
      </w:rPr>
    </w:tblStylePr>
    <w:tblStylePr w:type="band1Vert">
      <w:tblPr/>
      <w:tcPr>
        <w:tcBorders>
          <w:left w:color="7F7F7F" w:space="0" w:sz="4" w:themeColor="text1" w:themeTint="80" w:val="single"/>
          <w:right w:color="7F7F7F" w:space="0" w:sz="4" w:themeColor="text1" w:themeTint="80" w:val="single"/>
        </w:tcBorders>
      </w:tcPr>
    </w:tblStylePr>
    <w:tblStylePr w:type="band2Vert">
      <w:tblPr/>
      <w:tcPr>
        <w:tcBorders>
          <w:left w:color="7F7F7F" w:space="0" w:sz="4" w:themeColor="text1" w:themeTint="80" w:val="single"/>
          <w:right w:color="7F7F7F" w:space="0" w:sz="4" w:themeColor="text1" w:themeTint="80" w:val="single"/>
        </w:tcBorders>
      </w:tcPr>
    </w:tblStylePr>
    <w:tblStylePr w:type="band1Horz">
      <w:tblPr/>
      <w:tcPr>
        <w:tcBorders>
          <w:top w:color="7F7F7F" w:space="0" w:sz="4" w:themeColor="text1" w:themeTint="80" w:val="single"/>
          <w:bottom w:color="7F7F7F" w:space="0" w:sz="4" w:themeColor="text1" w:themeTint="80" w:val="single"/>
        </w:tcBorders>
      </w:tcPr>
    </w:tblStylePr>
  </w:style>
  <w:style w:styleId="12" w:type="table">
    <w:name w:val="Plain Table 1"/>
    <w:basedOn w:val="a5"/>
    <w:uiPriority w:val="41"/>
    <w:rsid w:val="00303BAC"/>
    <w:tblPr>
      <w:tblStyleRowBandSize w:val="1"/>
      <w:tblStyleColBandSize w:val="1"/>
      <w:tblBorders>
        <w:top w:color="BFBFBF" w:space="0" w:sz="4" w:themeColor="background1" w:themeShade="BF" w:val="single"/>
        <w:left w:color="BFBFBF" w:space="0" w:sz="4" w:themeColor="background1" w:themeShade="BF" w:val="single"/>
        <w:bottom w:color="BFBFBF" w:space="0" w:sz="4" w:themeColor="background1" w:themeShade="BF" w:val="single"/>
        <w:right w:color="BFBFBF" w:space="0" w:sz="4" w:themeColor="background1" w:themeShade="BF" w:val="single"/>
        <w:insideH w:color="BFBFBF" w:space="0" w:sz="4" w:themeColor="background1" w:themeShade="BF" w:val="single"/>
        <w:insideV w:color="BFBFBF" w:space="0" w:sz="4" w:themeColor="background1" w:themeShade="BF" w:val="single"/>
      </w:tblBorders>
    </w:tblPr>
    <w:tblStylePr w:type="firstRow">
      <w:rPr>
        <w:b/>
        <w:bCs/>
      </w:rPr>
    </w:tblStylePr>
    <w:tblStylePr w:type="lastRow">
      <w:rPr>
        <w:b/>
        <w:bCs/>
      </w:rPr>
      <w:tblPr/>
      <w:tcPr>
        <w:tcBorders>
          <w:top w:color="BFBFBF" w:space="0" w:sz="4" w:themeColor="background1" w:themeShade="BF" w:val="double"/>
        </w:tcBorders>
      </w:tcPr>
    </w:tblStylePr>
    <w:tblStylePr w:type="firstCol">
      <w:rPr>
        <w:b/>
        <w:bCs/>
      </w:rPr>
    </w:tblStylePr>
    <w:tblStylePr w:type="lastCol">
      <w:rPr>
        <w:b/>
        <w:bCs/>
      </w:rPr>
    </w:tblStylePr>
    <w:tblStylePr w:type="band1Vert">
      <w:tblPr/>
      <w:tcPr>
        <w:shd w:color="auto" w:fill="F2F2F2" w:themeFill="background1" w:themeFillShade="F2" w:val="clear"/>
      </w:tcPr>
    </w:tblStylePr>
    <w:tblStylePr w:type="band1Horz">
      <w:tblPr/>
      <w:tcPr>
        <w:shd w:color="auto" w:fill="F2F2F2" w:themeFill="background1" w:themeFillShade="F2" w:val="clear"/>
      </w:tcPr>
    </w:tblStylePr>
  </w:style>
  <w:style w:customStyle="1" w:styleId="1" w:type="numbering">
    <w:name w:val="現在のリスト1"/>
    <w:uiPriority w:val="99"/>
    <w:rsid w:val="00B44956"/>
    <w:pPr>
      <w:numPr>
        <w:numId w:val="18"/>
      </w:numPr>
    </w:pPr>
  </w:style>
  <w:style w:customStyle="1" w:styleId="2" w:type="numbering">
    <w:name w:val="現在のリスト2"/>
    <w:uiPriority w:val="99"/>
    <w:rsid w:val="00B44956"/>
    <w:pPr>
      <w:numPr>
        <w:numId w:val="19"/>
      </w:numPr>
    </w:pPr>
  </w:style>
  <w:style w:customStyle="1" w:styleId="TableCaption" w:type="paragraph">
    <w:name w:val="Table Caption"/>
    <w:qFormat/>
    <w:rsid w:val="00DF1F42"/>
    <w:rPr>
      <w:rFonts w:ascii="ＭＳ 明朝" w:cs="ＭＳ 明朝" w:eastAsia="ＭＳ 明朝" w:hAnsi="ＭＳ 明朝"/>
    </w:rPr>
  </w:style>
  <w:style w:customStyle="1" w:styleId="SourceCode" w:type="paragraph">
    <w:name w:val="Source Code"/>
    <w:pPr>
      <w:shd w:color="auto" w:fill="F8F8F8" w:val="clear"/>
      <w:wordWrap w:val="0"/>
    </w:pPr>
  </w:style>
  <w:style w:customStyle="1" w:styleId="KeywordTok" w:type="character">
    <w:name w:val="KeywordTok"/>
    <w:rPr>
      <w:b/>
      <w:color w:val="204A87"/>
      <w:shd w:color="auto" w:fill="F8F8F8" w:val="clear"/>
    </w:rPr>
  </w:style>
  <w:style w:customStyle="1" w:styleId="DataTypeTok" w:type="character">
    <w:name w:val="DataTypeTok"/>
    <w:rPr>
      <w:color w:val="204A87"/>
      <w:shd w:color="auto" w:fill="F8F8F8" w:val="clear"/>
    </w:rPr>
  </w:style>
  <w:style w:customStyle="1" w:styleId="DecValTok" w:type="character">
    <w:name w:val="DecValTok"/>
    <w:rPr>
      <w:color w:val="0000CF"/>
      <w:shd w:color="auto" w:fill="F8F8F8" w:val="clear"/>
    </w:rPr>
  </w:style>
  <w:style w:customStyle="1" w:styleId="BaseNTok" w:type="character">
    <w:name w:val="BaseNTok"/>
    <w:rPr>
      <w:color w:val="0000CF"/>
      <w:shd w:color="auto" w:fill="F8F8F8" w:val="clear"/>
    </w:rPr>
  </w:style>
  <w:style w:customStyle="1" w:styleId="FloatTok" w:type="character">
    <w:name w:val="FloatTok"/>
    <w:rPr>
      <w:color w:val="0000CF"/>
      <w:shd w:color="auto" w:fill="F8F8F8" w:val="clear"/>
    </w:rPr>
  </w:style>
  <w:style w:customStyle="1" w:styleId="ConstantTok" w:type="character">
    <w:name w:val="ConstantTok"/>
    <w:rPr>
      <w:color w:val="8F5902"/>
      <w:shd w:color="auto" w:fill="F8F8F8" w:val="clear"/>
    </w:rPr>
  </w:style>
  <w:style w:customStyle="1" w:styleId="CharTok" w:type="character">
    <w:name w:val="CharTok"/>
    <w:rPr>
      <w:color w:val="4E9A06"/>
      <w:shd w:color="auto" w:fill="F8F8F8" w:val="clear"/>
    </w:rPr>
  </w:style>
  <w:style w:customStyle="1" w:styleId="SpecialCharTok" w:type="character">
    <w:name w:val="SpecialCharTok"/>
    <w:rPr>
      <w:b/>
      <w:color w:val="CE5C00"/>
      <w:shd w:color="auto" w:fill="F8F8F8" w:val="clear"/>
    </w:rPr>
  </w:style>
  <w:style w:customStyle="1" w:styleId="StringTok" w:type="character">
    <w:name w:val="StringTok"/>
    <w:rPr>
      <w:color w:val="4E9A06"/>
      <w:shd w:color="auto" w:fill="F8F8F8" w:val="clear"/>
    </w:rPr>
  </w:style>
  <w:style w:customStyle="1" w:styleId="VerbatimStringTok" w:type="character">
    <w:name w:val="VerbatimStringTok"/>
    <w:rPr>
      <w:color w:val="4E9A06"/>
      <w:shd w:color="auto" w:fill="F8F8F8" w:val="clear"/>
    </w:rPr>
  </w:style>
  <w:style w:customStyle="1" w:styleId="SpecialStringTok" w:type="character">
    <w:name w:val="SpecialStringTok"/>
    <w:rPr>
      <w:color w:val="4E9A06"/>
      <w:shd w:color="auto" w:fill="F8F8F8" w:val="clear"/>
    </w:rPr>
  </w:style>
  <w:style w:customStyle="1" w:styleId="ImportTok" w:type="character">
    <w:name w:val="ImportTok"/>
    <w:rPr>
      <w:shd w:color="auto" w:fill="F8F8F8" w:val="clear"/>
    </w:rPr>
  </w:style>
  <w:style w:customStyle="1" w:styleId="CommentTok" w:type="character">
    <w:name w:val="CommentTok"/>
    <w:rPr>
      <w:i/>
      <w:color w:val="8F5902"/>
      <w:shd w:color="auto" w:fill="F8F8F8" w:val="clear"/>
    </w:rPr>
  </w:style>
  <w:style w:customStyle="1" w:styleId="DocumentationTok" w:type="character">
    <w:name w:val="DocumentationTok"/>
    <w:rPr>
      <w:b/>
      <w:i/>
      <w:color w:val="8F5902"/>
      <w:shd w:color="auto" w:fill="F8F8F8" w:val="clear"/>
    </w:rPr>
  </w:style>
  <w:style w:customStyle="1" w:styleId="AnnotationTok" w:type="character">
    <w:name w:val="AnnotationTok"/>
    <w:rPr>
      <w:b/>
      <w:i/>
      <w:color w:val="8F5902"/>
      <w:shd w:color="auto" w:fill="F8F8F8" w:val="clear"/>
    </w:rPr>
  </w:style>
  <w:style w:customStyle="1" w:styleId="CommentVarTok" w:type="character">
    <w:name w:val="CommentVarTok"/>
    <w:rPr>
      <w:b/>
      <w:i/>
      <w:color w:val="8F5902"/>
      <w:shd w:color="auto" w:fill="F8F8F8" w:val="clear"/>
    </w:rPr>
  </w:style>
  <w:style w:customStyle="1" w:styleId="OtherTok" w:type="character">
    <w:name w:val="OtherTok"/>
    <w:rPr>
      <w:color w:val="8F5902"/>
      <w:shd w:color="auto" w:fill="F8F8F8" w:val="clear"/>
    </w:rPr>
  </w:style>
  <w:style w:customStyle="1" w:styleId="FunctionTok" w:type="character">
    <w:name w:val="FunctionTok"/>
    <w:rPr>
      <w:b/>
      <w:color w:val="204A87"/>
      <w:shd w:color="auto" w:fill="F8F8F8" w:val="clear"/>
    </w:rPr>
  </w:style>
  <w:style w:customStyle="1" w:styleId="VariableTok" w:type="character">
    <w:name w:val="VariableTok"/>
    <w:rPr>
      <w:color w:val="000000"/>
      <w:shd w:color="auto" w:fill="F8F8F8" w:val="clear"/>
    </w:rPr>
  </w:style>
  <w:style w:customStyle="1" w:styleId="ControlFlowTok" w:type="character">
    <w:name w:val="ControlFlowTok"/>
    <w:rPr>
      <w:b/>
      <w:color w:val="204A87"/>
      <w:shd w:color="auto" w:fill="F8F8F8" w:val="clear"/>
    </w:rPr>
  </w:style>
  <w:style w:customStyle="1" w:styleId="OperatorTok" w:type="character">
    <w:name w:val="OperatorTok"/>
    <w:rPr>
      <w:b/>
      <w:color w:val="CE5C00"/>
      <w:shd w:color="auto" w:fill="F8F8F8" w:val="clear"/>
    </w:rPr>
  </w:style>
  <w:style w:customStyle="1" w:styleId="BuiltInTok" w:type="character">
    <w:name w:val="BuiltInTok"/>
    <w:rPr>
      <w:shd w:color="auto" w:fill="F8F8F8" w:val="clear"/>
    </w:rPr>
  </w:style>
  <w:style w:customStyle="1" w:styleId="ExtensionTok" w:type="character">
    <w:name w:val="ExtensionTok"/>
    <w:rPr>
      <w:shd w:color="auto" w:fill="F8F8F8" w:val="clear"/>
    </w:rPr>
  </w:style>
  <w:style w:customStyle="1" w:styleId="PreprocessorTok" w:type="character">
    <w:name w:val="PreprocessorTok"/>
    <w:rPr>
      <w:i/>
      <w:color w:val="8F5902"/>
      <w:shd w:color="auto" w:fill="F8F8F8" w:val="clear"/>
    </w:rPr>
  </w:style>
  <w:style w:customStyle="1" w:styleId="AttributeTok" w:type="character">
    <w:name w:val="AttributeTok"/>
    <w:rPr>
      <w:color w:val="204A87"/>
      <w:shd w:color="auto" w:fill="F8F8F8" w:val="clear"/>
    </w:rPr>
  </w:style>
  <w:style w:customStyle="1" w:styleId="RegionMarkerTok" w:type="character">
    <w:name w:val="RegionMarkerTok"/>
    <w:rPr>
      <w:shd w:color="auto" w:fill="F8F8F8" w:val="clear"/>
    </w:rPr>
  </w:style>
  <w:style w:customStyle="1" w:styleId="InformationTok" w:type="character">
    <w:name w:val="InformationTok"/>
    <w:rPr>
      <w:b/>
      <w:i/>
      <w:color w:val="8F5902"/>
      <w:shd w:color="auto" w:fill="F8F8F8" w:val="clear"/>
    </w:rPr>
  </w:style>
  <w:style w:customStyle="1" w:styleId="WarningTok" w:type="character">
    <w:name w:val="WarningTok"/>
    <w:rPr>
      <w:b/>
      <w:i/>
      <w:color w:val="8F5902"/>
      <w:shd w:color="auto" w:fill="F8F8F8" w:val="clear"/>
    </w:rPr>
  </w:style>
  <w:style w:customStyle="1" w:styleId="AlertTok" w:type="character">
    <w:name w:val="AlertTok"/>
    <w:rPr>
      <w:color w:val="EF2929"/>
      <w:shd w:color="auto" w:fill="F8F8F8" w:val="clear"/>
    </w:rPr>
  </w:style>
  <w:style w:customStyle="1" w:styleId="ErrorTok" w:type="character">
    <w:name w:val="ErrorTok"/>
    <w:rPr>
      <w:b/>
      <w:color w:val="A40000"/>
      <w:shd w:color="auto" w:fill="F8F8F8" w:val="clear"/>
    </w:rPr>
  </w:style>
  <w:style w:customStyle="1" w:styleId="NormalTok" w:type="character">
    <w:name w:val="NormalTok"/>
    <w:rPr>
      <w:shd w:color="auto" w:fill="F8F8F8" w:val="clear"/>
    </w:rPr>
  </w:style>
  <w:style w:styleId="aff" w:type="paragraph">
    <w:name w:val="endnote text"/>
    <w:basedOn w:val="a3"/>
    <w:link w:val="aff0"/>
    <w:uiPriority w:val="99"/>
    <w:unhideWhenUsed/>
    <w:rsid w:val="0071374D"/>
    <w:pPr>
      <w:ind w:hanging="170" w:left="170"/>
      <w:jc w:val="left"/>
    </w:pPr>
  </w:style>
  <w:style w:customStyle="1" w:styleId="aff0" w:type="character">
    <w:name w:val="文末脚注文字列 (文字)"/>
    <w:basedOn w:val="a4"/>
    <w:link w:val="aff"/>
    <w:uiPriority w:val="99"/>
    <w:rsid w:val="0071374D"/>
    <w:rPr>
      <w:rFonts w:ascii="ＭＳ 明朝" w:cs="ＭＳ 明朝" w:eastAsia="ＭＳ 明朝" w:hAnsi="ＭＳ 明朝"/>
    </w:rPr>
  </w:style>
  <w:style w:styleId="aff1" w:type="character">
    <w:name w:val="endnote reference"/>
    <w:basedOn w:val="a4"/>
    <w:uiPriority w:val="99"/>
    <w:semiHidden/>
    <w:unhideWhenUsed/>
    <w:rsid w:val="00D63645"/>
    <w:rPr>
      <w:vertAlign w:val="superscript"/>
    </w:rPr>
  </w:style>
  <w:style w:styleId="aff2" w:type="paragraph">
    <w:name w:val="footnote text"/>
    <w:basedOn w:val="a3"/>
    <w:link w:val="aff3"/>
    <w:uiPriority w:val="99"/>
    <w:unhideWhenUsed/>
    <w:rsid w:val="00D63645"/>
    <w:pPr>
      <w:snapToGrid w:val="0"/>
      <w:jc w:val="left"/>
    </w:pPr>
  </w:style>
  <w:style w:customStyle="1" w:styleId="aff3" w:type="character">
    <w:name w:val="脚注文字列 (文字)"/>
    <w:basedOn w:val="a4"/>
    <w:link w:val="aff2"/>
    <w:uiPriority w:val="99"/>
    <w:rsid w:val="00D63645"/>
    <w:rPr>
      <w:rFonts w:ascii="ＭＳ 明朝" w:cs="ＭＳ 明朝" w:eastAsia="ＭＳ 明朝" w:hAnsi="ＭＳ 明朝"/>
    </w:rPr>
  </w:style>
  <w:style w:styleId="aff4" w:type="character">
    <w:name w:val="footnote reference"/>
    <w:basedOn w:val="a4"/>
    <w:uiPriority w:val="99"/>
    <w:semiHidden/>
    <w:unhideWhenUsed/>
    <w:rsid w:val="00D63645"/>
    <w:rPr>
      <w:vertAlign w:val="superscript"/>
    </w:rPr>
  </w:style>
  <w:style w:customStyle="1" w:styleId="3" w:type="numbering">
    <w:name w:val="現在のリスト3"/>
    <w:uiPriority w:val="99"/>
    <w:rsid w:val="001A7FF9"/>
    <w:pPr>
      <w:numPr>
        <w:numId w:val="21"/>
      </w:numPr>
    </w:pPr>
  </w:style>
  <w:style w:customStyle="1" w:styleId="40" w:type="numbering">
    <w:name w:val="現在のリスト4"/>
    <w:uiPriority w:val="99"/>
    <w:rsid w:val="001A7FF9"/>
    <w:pPr>
      <w:numPr>
        <w:numId w:val="22"/>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3575772">
      <w:bodyDiv w:val="1"/>
      <w:marLeft w:val="0"/>
      <w:marRight w:val="0"/>
      <w:marTop w:val="0"/>
      <w:marBottom w:val="0"/>
      <w:divBdr>
        <w:top w:val="none" w:sz="0" w:space="0" w:color="auto"/>
        <w:left w:val="none" w:sz="0" w:space="0" w:color="auto"/>
        <w:bottom w:val="none" w:sz="0" w:space="0" w:color="auto"/>
        <w:right w:val="none" w:sz="0" w:space="0" w:color="auto"/>
      </w:divBdr>
    </w:div>
    <w:div w:id="1436438081">
      <w:bodyDiv w:val="1"/>
      <w:marLeft w:val="0"/>
      <w:marRight w:val="0"/>
      <w:marTop w:val="0"/>
      <w:marBottom w:val="0"/>
      <w:divBdr>
        <w:top w:val="none" w:sz="0" w:space="0" w:color="auto"/>
        <w:left w:val="none" w:sz="0" w:space="0" w:color="auto"/>
        <w:bottom w:val="none" w:sz="0" w:space="0" w:color="auto"/>
        <w:right w:val="none" w:sz="0" w:space="0" w:color="auto"/>
      </w:divBdr>
    </w:div>
    <w:div w:id="2094231097">
      <w:bodyDiv w:val="1"/>
      <w:marLeft w:val="0"/>
      <w:marRight w:val="0"/>
      <w:marTop w:val="0"/>
      <w:marBottom w:val="0"/>
      <w:divBdr>
        <w:top w:val="none" w:sz="0" w:space="0" w:color="auto"/>
        <w:left w:val="none" w:sz="0" w:space="0" w:color="auto"/>
        <w:bottom w:val="none" w:sz="0" w:space="0" w:color="auto"/>
        <w:right w:val="none" w:sz="0" w:space="0" w:color="auto"/>
      </w:divBdr>
    </w:div>
    <w:div w:id="2100902951">
      <w:bodyDiv w:val="1"/>
      <w:marLeft w:val="0"/>
      <w:marRight w:val="0"/>
      <w:marTop w:val="0"/>
      <w:marBottom w:val="0"/>
      <w:divBdr>
        <w:top w:val="none" w:sz="0" w:space="0" w:color="auto"/>
        <w:left w:val="none" w:sz="0" w:space="0" w:color="auto"/>
        <w:bottom w:val="none" w:sz="0" w:space="0" w:color="auto"/>
        <w:right w:val="none" w:sz="0" w:space="0" w:color="auto"/>
      </w:divBdr>
      <w:divsChild>
        <w:div w:id="1678926194">
          <w:marLeft w:val="0"/>
          <w:marRight w:val="0"/>
          <w:marTop w:val="0"/>
          <w:marBottom w:val="0"/>
          <w:divBdr>
            <w:top w:val="none" w:sz="0" w:space="0" w:color="auto"/>
            <w:left w:val="none" w:sz="0" w:space="0" w:color="auto"/>
            <w:bottom w:val="none" w:sz="0" w:space="0" w:color="auto"/>
            <w:right w:val="none" w:sz="0" w:space="0" w:color="auto"/>
          </w:divBdr>
          <w:divsChild>
            <w:div w:id="196877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7" Target="media/rId27.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53" Target="media/rId53.png"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hyperlink" Id="rId72" Target="https://doi.org/10.4116/jaqua.44.297" TargetMode="External" /></Relationships>
</file>

<file path=word/_rels/footnotes.xml.rels><?xml version="1.0" encoding="UTF-8"?><Relationships xmlns="http://schemas.openxmlformats.org/package/2006/relationships"><Relationship Type="http://schemas.openxmlformats.org/officeDocument/2006/relationships/hyperlink" Id="rId72" Target="https://doi.org/10.4116/jaqua.44.297"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11</Pages>
  <Words>842</Words>
  <Characters>4804</Characters>
  <Application>Microsoft Office Word</Application>
  <DocSecurity>0</DocSecurity>
  <Lines>40</Lines>
  <Paragraphs>11</Paragraphs>
  <ScaleCrop>false</ScaleCrop>
  <HeadingPairs>
    <vt:vector size="2" baseType="variant">
      <vt:variant>
        <vt:lpstr>タイトル</vt:lpstr>
      </vt:variant>
      <vt:variant>
        <vt:i4>1</vt:i4>
      </vt:variant>
    </vt:vector>
  </HeadingPairs>
  <TitlesOfParts>
    <vt:vector size="1" baseType="lpstr">
      <vt:lpstr/>
    </vt:vector>
  </TitlesOfParts>
  <Company>富山県</Company>
  <LinksUpToDate>false</LinksUpToDate>
  <CharactersWithSpaces>5635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Ｒ言語による京都系土師器皿研究</dc:title>
  <dc:creator>松井　広信（富山県教育委員会）</dc:creator>
  <cp:keywords/>
  <dcterms:created xsi:type="dcterms:W3CDTF">2025-11-16T07:55:03Z</dcterms:created>
  <dcterms:modified xsi:type="dcterms:W3CDTF">2025-11-16T07:55:03Z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./analysis/templates/mylib.bib</vt:lpwstr>
  </property>
  <property fmtid="{D5CDD505-2E9C-101B-9397-08002B2CF9AE}" pid="3" name="csl">
    <vt:lpwstr>./analysis/templates/japanese_or_others.csl</vt:lpwstr>
  </property>
  <property fmtid="{D5CDD505-2E9C-101B-9397-08002B2CF9AE}" pid="4" name="editor_options">
    <vt:lpwstr/>
  </property>
  <property fmtid="{D5CDD505-2E9C-101B-9397-08002B2CF9AE}" pid="5" name="output">
    <vt:lpwstr/>
  </property>
</Properties>
</file>