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3D2E"/>
          <w:spacing w:val="0"/>
          <w:position w:val="0"/>
          <w:sz w:val="56"/>
          <w:shd w:fill="auto" w:val="clear"/>
        </w:rPr>
        <w:t xml:space="preserve">GAIA</w:t>
      </w: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1A6B4A"/>
          <w:spacing w:val="0"/>
          <w:position w:val="0"/>
          <w:sz w:val="28"/>
          <w:shd w:fill="auto" w:val="clear"/>
        </w:rPr>
        <w:t xml:space="preserve">Plataforma de Governanca Climatica do Estado do Tocantins</w:t>
      </w:r>
    </w:p>
    <w:p>
      <w:pPr>
        <w:spacing w:before="0" w:after="400" w:line="240"/>
        <w:ind w:right="0" w:left="0" w:firstLine="0"/>
        <w:jc w:val="center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44444"/>
          <w:spacing w:val="100"/>
          <w:position w:val="0"/>
          <w:sz w:val="24"/>
          <w:shd w:fill="auto" w:val="clear"/>
        </w:rPr>
        <w:t xml:space="preserve">GUIA DE IDENTIDADE VISUAL</w:t>
      </w:r>
    </w:p>
    <w:p>
      <w:pPr>
        <w:spacing w:before="0" w:after="2000" w:line="240"/>
        <w:ind w:right="0" w:left="0" w:firstLine="0"/>
        <w:jc w:val="center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0"/>
          <w:shd w:fill="auto" w:val="clear"/>
        </w:rPr>
        <w:t xml:space="preserve">Versao 1.0 </w:t>
      </w:r>
      <w:r>
        <w:rPr>
          <w:rFonts w:ascii="Arial" w:hAnsi="Arial" w:cs="Arial" w:eastAsia="Arial"/>
          <w:color w:val="999999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999999"/>
          <w:spacing w:val="0"/>
          <w:position w:val="0"/>
          <w:sz w:val="20"/>
          <w:shd w:fill="auto" w:val="clear"/>
        </w:rPr>
        <w:t xml:space="preserve"> 2025</w:t>
      </w: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B3D2E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B3D2E"/>
          <w:spacing w:val="0"/>
          <w:position w:val="0"/>
          <w:sz w:val="36"/>
          <w:shd w:fill="auto" w:val="clear"/>
        </w:rPr>
        <w:t xml:space="preserve">1. Introducao e Posicionamento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  <w:t xml:space="preserve">Este documento define os elementos visuais e comunicacionais da plataforma de governanca climatica do Estado do Tocantins no ambito do programa JREDD+ (REDD+ Jurisdicional). O guia deve ser seguido por todos os times de desenvolvimento, design e comunicacao envolvidos nos tres portais digitais e na interface WhatsApp do ecossistema.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  <w:t xml:space="preserve">1.1 Missao da Marca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  <w:t xml:space="preserve">Construir a ponte mais confiavel e inclusiva entre as comunidades da floresta tocantinense, os gestores publicos e os auditores internacionais </w:t>
      </w:r>
      <w:r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  <w:t xml:space="preserve"> tornando a preservacao ambiental rastreavel, transparente e financeiramente viavel.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  <w:t xml:space="preserve">1.2 Publico-alvo e Contexto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  <w:t xml:space="preserve">A plataforma serve tres audiencias simultaneamente, com necessidades radicalmente diferentes: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Comunidades indigenas, quilombolas e agricultores familiares 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 acesso via WhatsApp com suporte a voz</w:t>
      </w:r>
    </w:p>
    <w:p>
      <w:pPr>
        <w:numPr>
          <w:ilvl w:val="0"/>
          <w:numId w:val="1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Gestores publicos e fiscais de contrato 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 portal backoffice com esteira Kanban</w:t>
      </w:r>
    </w:p>
    <w:p>
      <w:pPr>
        <w:numPr>
          <w:ilvl w:val="0"/>
          <w:numId w:val="1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Auditores internacionais da ONU/UNFCCC e compradores de credito de carbono 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 portal de transparencia com dados em tempo real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B3D2E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B3D2E"/>
          <w:spacing w:val="0"/>
          <w:position w:val="0"/>
          <w:sz w:val="36"/>
          <w:shd w:fill="auto" w:val="clear"/>
        </w:rPr>
        <w:t xml:space="preserve">2. Paleta de Cores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  <w:t xml:space="preserve">A paleta foi construida a partir da identidade natural do Tocantins: o verde profundo do Cerrado, o limao vibrante do fruto do buriti, a areia quente do Jalapao e o ouro do brasao do estado.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tbl>
      <w:tblPr/>
      <w:tblGrid>
        <w:gridCol w:w="1560"/>
        <w:gridCol w:w="2200"/>
        <w:gridCol w:w="1800"/>
        <w:gridCol w:w="1800"/>
        <w:gridCol w:w="2000"/>
      </w:tblGrid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b3d2e" w:sz="1"/>
              <w:left w:val="single" w:color="0b3d2e" w:sz="1"/>
              <w:bottom w:val="single" w:color="0b3d2e" w:sz="1"/>
              <w:right w:val="single" w:color="0b3d2e" w:sz="1"/>
            </w:tcBorders>
            <w:shd w:color="000000" w:fill="0b3d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Amostra</w:t>
            </w:r>
          </w:p>
        </w:tc>
        <w:tc>
          <w:tcPr>
            <w:tcW w:w="2200" w:type="dxa"/>
            <w:tcBorders>
              <w:top w:val="single" w:color="0b3d2e" w:sz="1"/>
              <w:left w:val="single" w:color="0b3d2e" w:sz="1"/>
              <w:bottom w:val="single" w:color="0b3d2e" w:sz="1"/>
              <w:right w:val="single" w:color="0b3d2e" w:sz="1"/>
            </w:tcBorders>
            <w:shd w:color="000000" w:fill="0b3d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Nome</w:t>
            </w:r>
          </w:p>
        </w:tc>
        <w:tc>
          <w:tcPr>
            <w:tcW w:w="1800" w:type="dxa"/>
            <w:tcBorders>
              <w:top w:val="single" w:color="0b3d2e" w:sz="1"/>
              <w:left w:val="single" w:color="0b3d2e" w:sz="1"/>
              <w:bottom w:val="single" w:color="0b3d2e" w:sz="1"/>
              <w:right w:val="single" w:color="0b3d2e" w:sz="1"/>
            </w:tcBorders>
            <w:shd w:color="000000" w:fill="0b3d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Hex</w:t>
            </w:r>
          </w:p>
        </w:tc>
        <w:tc>
          <w:tcPr>
            <w:tcW w:w="1800" w:type="dxa"/>
            <w:tcBorders>
              <w:top w:val="single" w:color="0b3d2e" w:sz="1"/>
              <w:left w:val="single" w:color="0b3d2e" w:sz="1"/>
              <w:bottom w:val="single" w:color="0b3d2e" w:sz="1"/>
              <w:right w:val="single" w:color="0b3d2e" w:sz="1"/>
            </w:tcBorders>
            <w:shd w:color="000000" w:fill="0b3d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RGB</w:t>
            </w:r>
          </w:p>
        </w:tc>
        <w:tc>
          <w:tcPr>
            <w:tcW w:w="2000" w:type="dxa"/>
            <w:tcBorders>
              <w:top w:val="single" w:color="0b3d2e" w:sz="1"/>
              <w:left w:val="single" w:color="0b3d2e" w:sz="1"/>
              <w:bottom w:val="single" w:color="0b3d2e" w:sz="1"/>
              <w:right w:val="single" w:color="0b3d2e" w:sz="1"/>
            </w:tcBorders>
            <w:shd w:color="000000" w:fill="0b3d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Uso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0b3d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4"/>
                <w:spacing w:val="0"/>
                <w:position w:val="0"/>
                <w:sz w:val="20"/>
                <w:shd w:fill="auto" w:val="clear"/>
              </w:rPr>
              <w:t xml:space="preserve">Cerrado Profundo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444444"/>
                <w:spacing w:val="0"/>
                <w:position w:val="0"/>
                <w:sz w:val="20"/>
                <w:shd w:fill="auto" w:val="clear"/>
              </w:rPr>
              <w:t xml:space="preserve">#0B3D2E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11 / 61 / 46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18"/>
                <w:shd w:fill="auto" w:val="clear"/>
              </w:rPr>
              <w:t xml:space="preserve">Cor primária, fundo escuro, header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6b4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4"/>
                <w:spacing w:val="0"/>
                <w:position w:val="0"/>
                <w:sz w:val="20"/>
                <w:shd w:fill="auto" w:val="clear"/>
              </w:rPr>
              <w:t xml:space="preserve">Mata Alta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444444"/>
                <w:spacing w:val="0"/>
                <w:position w:val="0"/>
                <w:sz w:val="20"/>
                <w:shd w:fill="auto" w:val="clear"/>
              </w:rPr>
              <w:t xml:space="preserve">#1A6B4A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26 / 107 / 74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18"/>
                <w:shd w:fill="auto" w:val="clear"/>
              </w:rPr>
              <w:t xml:space="preserve">Cor secundária, hover, links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c8e063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4"/>
                <w:spacing w:val="0"/>
                <w:position w:val="0"/>
                <w:sz w:val="20"/>
                <w:shd w:fill="auto" w:val="clear"/>
              </w:rPr>
              <w:t xml:space="preserve">Buriti Vivo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444444"/>
                <w:spacing w:val="0"/>
                <w:position w:val="0"/>
                <w:sz w:val="20"/>
                <w:shd w:fill="auto" w:val="clear"/>
              </w:rPr>
              <w:t xml:space="preserve">#C8E063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200 / 224 / 99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18"/>
                <w:shd w:fill="auto" w:val="clear"/>
              </w:rPr>
              <w:t xml:space="preserve">Acento principal, CTAs, destaque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0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4"/>
                <w:spacing w:val="0"/>
                <w:position w:val="0"/>
                <w:sz w:val="20"/>
                <w:shd w:fill="auto" w:val="clear"/>
              </w:rPr>
              <w:t xml:space="preserve">Areia do Jalapão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444444"/>
                <w:spacing w:val="0"/>
                <w:position w:val="0"/>
                <w:sz w:val="20"/>
                <w:shd w:fill="auto" w:val="clear"/>
              </w:rPr>
              <w:t xml:space="preserve">#F5F0E8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245 / 240 / 232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18"/>
                <w:shd w:fill="auto" w:val="clear"/>
              </w:rPr>
              <w:t xml:space="preserve">Fundo de página, superfícies neutras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a02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4"/>
                <w:spacing w:val="0"/>
                <w:position w:val="0"/>
                <w:sz w:val="20"/>
                <w:shd w:fill="auto" w:val="clear"/>
              </w:rPr>
              <w:t xml:space="preserve">Ouro do Tocantins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444444"/>
                <w:spacing w:val="0"/>
                <w:position w:val="0"/>
                <w:sz w:val="20"/>
                <w:shd w:fill="auto" w:val="clear"/>
              </w:rPr>
              <w:t xml:space="preserve">#E8A020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232 / 160 / 32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18"/>
                <w:shd w:fill="auto" w:val="clear"/>
              </w:rPr>
              <w:t xml:space="preserve">Alertas, status em análise, atenção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  <w:t xml:space="preserve">2.1 Regras de Uso das Cores</w:t>
      </w:r>
    </w:p>
    <w:p>
      <w:pPr>
        <w:numPr>
          <w:ilvl w:val="0"/>
          <w:numId w:val="4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A cor primaria (Cerrado Profundo) deve ser usada em headers, menus e fundos escuros</w:t>
      </w:r>
    </w:p>
    <w:p>
      <w:pPr>
        <w:numPr>
          <w:ilvl w:val="0"/>
          <w:numId w:val="4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Buriti Vivo e a cor exclusiva de acao 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 botoes primarios, barras de progresso e destaques</w:t>
      </w:r>
    </w:p>
    <w:p>
      <w:pPr>
        <w:numPr>
          <w:ilvl w:val="0"/>
          <w:numId w:val="4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Nunca usar Buriti Vivo como cor de texto sobre fundos claros 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 contraste insuficiente</w:t>
      </w:r>
    </w:p>
    <w:p>
      <w:pPr>
        <w:numPr>
          <w:ilvl w:val="0"/>
          <w:numId w:val="4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Ouro do Tocantins e reservado para estados de atencao (pendencia, em analise)</w:t>
      </w:r>
    </w:p>
    <w:p>
      <w:pPr>
        <w:numPr>
          <w:ilvl w:val="0"/>
          <w:numId w:val="4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Areia do Jalapao substitui o branco puro como fundo 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 transmite calor e identidade regional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B3D2E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B3D2E"/>
          <w:spacing w:val="0"/>
          <w:position w:val="0"/>
          <w:sz w:val="36"/>
          <w:shd w:fill="auto" w:val="clear"/>
        </w:rPr>
        <w:t xml:space="preserve">3. Tipografia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  <w:t xml:space="preserve">O sistema tipografico combina duas familias complementares: Sora para titulos e display (moderna, geometrica, com personalidade) e DM Sans para corpo e interface (legivel, neutra, acessivel em qualquer tamanho de tela).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tbl>
      <w:tblPr/>
      <w:tblGrid>
        <w:gridCol w:w="2000"/>
        <w:gridCol w:w="2400"/>
        <w:gridCol w:w="2160"/>
        <w:gridCol w:w="2800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0b3d2e" w:sz="1"/>
              <w:left w:val="single" w:color="0b3d2e" w:sz="1"/>
              <w:bottom w:val="single" w:color="0b3d2e" w:sz="1"/>
              <w:right w:val="single" w:color="0b3d2e" w:sz="1"/>
            </w:tcBorders>
            <w:shd w:color="000000" w:fill="0b3d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Nível</w:t>
            </w:r>
          </w:p>
        </w:tc>
        <w:tc>
          <w:tcPr>
            <w:tcW w:w="2400" w:type="dxa"/>
            <w:tcBorders>
              <w:top w:val="single" w:color="0b3d2e" w:sz="1"/>
              <w:left w:val="single" w:color="0b3d2e" w:sz="1"/>
              <w:bottom w:val="single" w:color="0b3d2e" w:sz="1"/>
              <w:right w:val="single" w:color="0b3d2e" w:sz="1"/>
            </w:tcBorders>
            <w:shd w:color="000000" w:fill="0b3d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Fonte</w:t>
            </w:r>
          </w:p>
        </w:tc>
        <w:tc>
          <w:tcPr>
            <w:tcW w:w="2160" w:type="dxa"/>
            <w:tcBorders>
              <w:top w:val="single" w:color="0b3d2e" w:sz="1"/>
              <w:left w:val="single" w:color="0b3d2e" w:sz="1"/>
              <w:bottom w:val="single" w:color="0b3d2e" w:sz="1"/>
              <w:right w:val="single" w:color="0b3d2e" w:sz="1"/>
            </w:tcBorders>
            <w:shd w:color="000000" w:fill="0b3d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Peso / Tamanho</w:t>
            </w:r>
          </w:p>
        </w:tc>
        <w:tc>
          <w:tcPr>
            <w:tcW w:w="2800" w:type="dxa"/>
            <w:tcBorders>
              <w:top w:val="single" w:color="0b3d2e" w:sz="1"/>
              <w:left w:val="single" w:color="0b3d2e" w:sz="1"/>
              <w:bottom w:val="single" w:color="0b3d2e" w:sz="1"/>
              <w:right w:val="single" w:color="0b3d2e" w:sz="1"/>
            </w:tcBorders>
            <w:shd w:color="000000" w:fill="0b3d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Aplicação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4"/>
                <w:spacing w:val="0"/>
                <w:position w:val="0"/>
                <w:sz w:val="20"/>
                <w:shd w:fill="auto" w:val="clear"/>
              </w:rPr>
              <w:t xml:space="preserve">Display / Hero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Sora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Bold 700 · 36</w:t>
            </w: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48pt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Título principal, hero de página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4"/>
                <w:spacing w:val="0"/>
                <w:position w:val="0"/>
                <w:sz w:val="20"/>
                <w:shd w:fill="auto" w:val="clear"/>
              </w:rPr>
              <w:t xml:space="preserve">Heading 1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Sora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SemiBold 600 · 24</w:t>
            </w: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28pt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Seções principais dos portais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4"/>
                <w:spacing w:val="0"/>
                <w:position w:val="0"/>
                <w:sz w:val="20"/>
                <w:shd w:fill="auto" w:val="clear"/>
              </w:rPr>
              <w:t xml:space="preserve">Heading 2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Sora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SemiBold 600 · 18</w:t>
            </w: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20pt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Subseções, cards, painéis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4"/>
                <w:spacing w:val="0"/>
                <w:position w:val="0"/>
                <w:sz w:val="20"/>
                <w:shd w:fill="auto" w:val="clear"/>
              </w:rPr>
              <w:t xml:space="preserve">Corpo / Body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DM Sans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Regular 400 · 15</w:t>
            </w: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16pt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Texto corrido, formulários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4"/>
                <w:spacing w:val="0"/>
                <w:position w:val="0"/>
                <w:sz w:val="20"/>
                <w:shd w:fill="auto" w:val="clear"/>
              </w:rPr>
              <w:t xml:space="preserve">Caption / Label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DM Sans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SemiBold 600 · 10</w:t>
            </w: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11pt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Rótulos, status, micro-textos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  <w:t xml:space="preserve">3.1 Regras de Tipografia</w:t>
      </w:r>
    </w:p>
    <w:p>
      <w:pPr>
        <w:numPr>
          <w:ilvl w:val="0"/>
          <w:numId w:val="6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Nunca usar pesos acima de 700 (bold)</w:t>
      </w:r>
    </w:p>
    <w:p>
      <w:pPr>
        <w:numPr>
          <w:ilvl w:val="0"/>
          <w:numId w:val="6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Espacamento entre letras: -0.5px a -1px em displays, 0 em corpo, +0.08em a +0.15em em labels maiusculos</w:t>
      </w:r>
    </w:p>
    <w:p>
      <w:pPr>
        <w:numPr>
          <w:ilvl w:val="0"/>
          <w:numId w:val="6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Altura de linha: 1.1 em titulos, 1.7 em texto corrido</w:t>
      </w:r>
    </w:p>
    <w:p>
      <w:pPr>
        <w:numPr>
          <w:ilvl w:val="0"/>
          <w:numId w:val="6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Tamanho minimo: 11px em qualquer contexto (incluindo WhatsApp)</w:t>
      </w:r>
    </w:p>
    <w:p>
      <w:pPr>
        <w:numPr>
          <w:ilvl w:val="0"/>
          <w:numId w:val="6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Em contextos de acessibilidade sonora (modo voz), toda interface e lida pela IA 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 fontes nao afetam a experiencia, mas o tamanho dos campos sim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B3D2E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B3D2E"/>
          <w:spacing w:val="0"/>
          <w:position w:val="0"/>
          <w:sz w:val="36"/>
          <w:shd w:fill="auto" w:val="clear"/>
        </w:rPr>
        <w:t xml:space="preserve">4. Elementos Graficos e Componentes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  <w:t xml:space="preserve">4.1 Logo e Icone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  <w:t xml:space="preserve">O simbolo da marca e uma arvore geometrica estilizada, composta por tres camadas de copa sobrepostas (representando as tres escalas do REDD+: local, estadual e global) sobre um tronco minimo. A forma e desenhada em verde-escuro sobre fundo Lima (Buriti Vivo), gerando contraste forte e identidade imediata.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Versao principal: icone Lima + texto branco, sobre fundo verde-escuro</w:t>
      </w:r>
    </w:p>
    <w:p>
      <w:pPr>
        <w:numPr>
          <w:ilvl w:val="0"/>
          <w:numId w:val="7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Versao negativa: icone verde-escuro + texto verde-escuro, sobre fundo areia</w:t>
      </w:r>
    </w:p>
    <w:p>
      <w:pPr>
        <w:numPr>
          <w:ilvl w:val="0"/>
          <w:numId w:val="7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Versao monocromatica: todo branco (uso em fundos escuros sem cor)</w:t>
      </w:r>
    </w:p>
    <w:p>
      <w:pPr>
        <w:numPr>
          <w:ilvl w:val="0"/>
          <w:numId w:val="7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Tamanho minimo do icone isolado: 32 x 32px</w:t>
      </w:r>
    </w:p>
    <w:p>
      <w:pPr>
        <w:numPr>
          <w:ilvl w:val="0"/>
          <w:numId w:val="7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Nunca distorcer, rotacionar ou recolorizar fora das versoes homologadas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  <w:t xml:space="preserve">4.2 Elementos Visuais de Suporte</w:t>
      </w:r>
    </w:p>
    <w:tbl>
      <w:tblPr/>
      <w:tblGrid>
        <w:gridCol w:w="2400"/>
        <w:gridCol w:w="3480"/>
        <w:gridCol w:w="3480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0b3d2e" w:sz="1"/>
              <w:left w:val="single" w:color="0b3d2e" w:sz="1"/>
              <w:bottom w:val="single" w:color="0b3d2e" w:sz="1"/>
              <w:right w:val="single" w:color="0b3d2e" w:sz="1"/>
            </w:tcBorders>
            <w:shd w:color="000000" w:fill="0b3d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Elemento</w:t>
            </w:r>
          </w:p>
        </w:tc>
        <w:tc>
          <w:tcPr>
            <w:tcW w:w="3480" w:type="dxa"/>
            <w:tcBorders>
              <w:top w:val="single" w:color="0b3d2e" w:sz="1"/>
              <w:left w:val="single" w:color="0b3d2e" w:sz="1"/>
              <w:bottom w:val="single" w:color="0b3d2e" w:sz="1"/>
              <w:right w:val="single" w:color="0b3d2e" w:sz="1"/>
            </w:tcBorders>
            <w:shd w:color="000000" w:fill="0b3d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Descrição</w:t>
            </w:r>
          </w:p>
        </w:tc>
        <w:tc>
          <w:tcPr>
            <w:tcW w:w="3480" w:type="dxa"/>
            <w:tcBorders>
              <w:top w:val="single" w:color="0b3d2e" w:sz="1"/>
              <w:left w:val="single" w:color="0b3d2e" w:sz="1"/>
              <w:bottom w:val="single" w:color="0b3d2e" w:sz="1"/>
              <w:right w:val="single" w:color="0b3d2e" w:sz="1"/>
            </w:tcBorders>
            <w:shd w:color="000000" w:fill="0b3d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Observação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Logo / Ícone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Árvore geométrica estilizada (3 camadas de copa + tronco)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Fundo Lima (#C8E063), forma verde-escura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Fundo escuro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Verde Cerrado Profundo (#0B3D2E) com círculos sutis e opacidade 4</w:t>
            </w: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7%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Aplicar apenas no header/hero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Borda de cards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0.5px sólida, cor cinza-borda (#CCCCCC), radius 12px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Nunca borda dupla ou colorida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Barra de progresso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Track cinza claro, fill Lima Buriti (#C8E063), height 4px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Nunca usar vermelho/laranja para progresso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Ícones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Biblioteca Tabler Icons </w:t>
            </w: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 variante outline, tamanho 16</w:t>
            </w: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24px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Nunca filled ou colorido fora do contexto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Sombra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Nenhuma (flat design). Apenas foco ring: 0 0 0 3px rgba(26,107,74,0.25)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Não usar drop-shadow de caixa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Radius padrão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8px (elementos menores) · 12px (cards) · 16px (containers hero)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20"/>
                <w:shd w:fill="auto" w:val="clear"/>
              </w:rPr>
              <w:t xml:space="preserve">Consistência total entre web e WhatsApp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  <w:t xml:space="preserve">4.3 Status e Badges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  <w:t xml:space="preserve">Os status dos projetos seguem um sistema de cores semanticas consistente em todos os portais: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tbl>
      <w:tblPr/>
      <w:tblGrid>
        <w:gridCol w:w="2340"/>
        <w:gridCol w:w="2340"/>
        <w:gridCol w:w="2340"/>
        <w:gridCol w:w="2340"/>
      </w:tblGrid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dff0d8" w:sz="1"/>
              <w:left w:val="single" w:color="dff0d8" w:sz="1"/>
              <w:bottom w:val="single" w:color="dff0d8" w:sz="1"/>
              <w:right w:val="single" w:color="dff0d8" w:sz="1"/>
            </w:tcBorders>
            <w:shd w:color="000000" w:fill="dff0d8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D6A2D"/>
                <w:spacing w:val="0"/>
                <w:position w:val="0"/>
                <w:sz w:val="20"/>
                <w:shd w:fill="auto" w:val="clear"/>
              </w:rPr>
              <w:t xml:space="preserve">Aprovado</w:t>
            </w:r>
          </w:p>
        </w:tc>
        <w:tc>
          <w:tcPr>
            <w:tcW w:w="2340" w:type="dxa"/>
            <w:tcBorders>
              <w:top w:val="single" w:color="fef3cd" w:sz="1"/>
              <w:left w:val="single" w:color="fef3cd" w:sz="1"/>
              <w:bottom w:val="single" w:color="fef3cd" w:sz="1"/>
              <w:right w:val="single" w:color="fef3cd" w:sz="1"/>
            </w:tcBorders>
            <w:shd w:color="000000" w:fill="fef3cd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6404"/>
                <w:spacing w:val="0"/>
                <w:position w:val="0"/>
                <w:sz w:val="20"/>
                <w:shd w:fill="auto" w:val="clear"/>
              </w:rPr>
              <w:t xml:space="preserve">Em analise</w:t>
            </w:r>
          </w:p>
        </w:tc>
        <w:tc>
          <w:tcPr>
            <w:tcW w:w="2340" w:type="dxa"/>
            <w:tcBorders>
              <w:top w:val="single" w:color="836967" w:sz="1"/>
              <w:left w:val="single" w:color="836967" w:sz="1"/>
              <w:bottom w:val="single" w:color="836967" w:sz="1"/>
              <w:right w:val="single" w:color="836967" w:sz="1"/>
            </w:tcBorders>
            <w:shd w:color="000000" w:fill="auto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32D2D"/>
                <w:spacing w:val="0"/>
                <w:position w:val="0"/>
                <w:sz w:val="20"/>
                <w:shd w:fill="auto" w:val="clear"/>
              </w:rPr>
              <w:t xml:space="preserve">Com pendencia</w:t>
            </w:r>
          </w:p>
        </w:tc>
        <w:tc>
          <w:tcPr>
            <w:tcW w:w="2340" w:type="dxa"/>
            <w:tcBorders>
              <w:top w:val="single" w:color="836967" w:sz="1"/>
              <w:left w:val="single" w:color="836967" w:sz="1"/>
              <w:bottom w:val="single" w:color="836967" w:sz="1"/>
              <w:right w:val="single" w:color="836967" w:sz="1"/>
            </w:tcBorders>
            <w:shd w:color="000000" w:fill="auto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5460"/>
                <w:spacing w:val="0"/>
                <w:position w:val="0"/>
                <w:sz w:val="20"/>
                <w:shd w:fill="auto" w:val="clear"/>
              </w:rPr>
              <w:t xml:space="preserve">Recebido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  <w:t xml:space="preserve">4.4 Botoes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  <w:t xml:space="preserve">O sistema de botoes segue quatro niveis de hierarquia visual: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tbl>
      <w:tblPr/>
      <w:tblGrid>
        <w:gridCol w:w="1800"/>
        <w:gridCol w:w="2400"/>
        <w:gridCol w:w="2400"/>
        <w:gridCol w:w="276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b3d2e" w:sz="1"/>
              <w:left w:val="single" w:color="0b3d2e" w:sz="1"/>
              <w:bottom w:val="single" w:color="0b3d2e" w:sz="1"/>
              <w:right w:val="single" w:color="0b3d2e" w:sz="1"/>
            </w:tcBorders>
            <w:shd w:color="000000" w:fill="0b3d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Tipo</w:t>
            </w:r>
          </w:p>
        </w:tc>
        <w:tc>
          <w:tcPr>
            <w:tcW w:w="2400" w:type="dxa"/>
            <w:tcBorders>
              <w:top w:val="single" w:color="0b3d2e" w:sz="1"/>
              <w:left w:val="single" w:color="0b3d2e" w:sz="1"/>
              <w:bottom w:val="single" w:color="0b3d2e" w:sz="1"/>
              <w:right w:val="single" w:color="0b3d2e" w:sz="1"/>
            </w:tcBorders>
            <w:shd w:color="000000" w:fill="0b3d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F undo</w:t>
            </w:r>
          </w:p>
        </w:tc>
        <w:tc>
          <w:tcPr>
            <w:tcW w:w="2400" w:type="dxa"/>
            <w:tcBorders>
              <w:top w:val="single" w:color="0b3d2e" w:sz="1"/>
              <w:left w:val="single" w:color="0b3d2e" w:sz="1"/>
              <w:bottom w:val="single" w:color="0b3d2e" w:sz="1"/>
              <w:right w:val="single" w:color="0b3d2e" w:sz="1"/>
            </w:tcBorders>
            <w:shd w:color="000000" w:fill="0b3d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Texto</w:t>
            </w:r>
          </w:p>
        </w:tc>
        <w:tc>
          <w:tcPr>
            <w:tcW w:w="2760" w:type="dxa"/>
            <w:tcBorders>
              <w:top w:val="single" w:color="0b3d2e" w:sz="1"/>
              <w:left w:val="single" w:color="0b3d2e" w:sz="1"/>
              <w:bottom w:val="single" w:color="0b3d2e" w:sz="1"/>
              <w:right w:val="single" w:color="0b3d2e" w:sz="1"/>
            </w:tcBorders>
            <w:shd w:color="000000" w:fill="0b3d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Uso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4"/>
                <w:spacing w:val="0"/>
                <w:position w:val="0"/>
                <w:sz w:val="18"/>
                <w:shd w:fill="auto" w:val="clear"/>
              </w:rPr>
              <w:t xml:space="preserve">Primario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0b3d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FFFF"/>
                <w:spacing w:val="0"/>
                <w:position w:val="0"/>
                <w:sz w:val="18"/>
                <w:shd w:fill="auto" w:val="clear"/>
              </w:rPr>
              <w:t xml:space="preserve">#0B3D2E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444444"/>
                <w:spacing w:val="0"/>
                <w:position w:val="0"/>
                <w:sz w:val="18"/>
                <w:shd w:fill="auto" w:val="clear"/>
              </w:rPr>
              <w:t xml:space="preserve">#C8E063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18"/>
                <w:shd w:fill="auto" w:val="clear"/>
              </w:rPr>
              <w:t xml:space="preserve">Acao principal: Submeter proposta, Enviar, Salvar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4"/>
                <w:spacing w:val="0"/>
                <w:position w:val="0"/>
                <w:sz w:val="18"/>
                <w:shd w:fill="auto" w:val="clear"/>
              </w:rPr>
              <w:t xml:space="preserve">Secundario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444444"/>
                <w:spacing w:val="0"/>
                <w:position w:val="0"/>
                <w:sz w:val="18"/>
                <w:shd w:fill="auto" w:val="clear"/>
              </w:rPr>
              <w:t xml:space="preserve">#FFFFFF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444444"/>
                <w:spacing w:val="0"/>
                <w:position w:val="0"/>
                <w:sz w:val="18"/>
                <w:shd w:fill="auto" w:val="clear"/>
              </w:rPr>
              <w:t xml:space="preserve">#0B3D2E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18"/>
                <w:shd w:fill="auto" w:val="clear"/>
              </w:rPr>
              <w:t xml:space="preserve">Acao alternativa: Ver edital, Cancelar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4"/>
                <w:spacing w:val="0"/>
                <w:position w:val="0"/>
                <w:sz w:val="18"/>
                <w:shd w:fill="auto" w:val="clear"/>
              </w:rPr>
              <w:t xml:space="preserve">Ghost / Soft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af3d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FFFF"/>
                <w:spacing w:val="0"/>
                <w:position w:val="0"/>
                <w:sz w:val="18"/>
                <w:shd w:fill="auto" w:val="clear"/>
              </w:rPr>
              <w:t xml:space="preserve">#EAF3DE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444444"/>
                <w:spacing w:val="0"/>
                <w:position w:val="0"/>
                <w:sz w:val="18"/>
                <w:shd w:fill="auto" w:val="clear"/>
              </w:rPr>
              <w:t xml:space="preserve">#3B6D11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18"/>
                <w:shd w:fill="auto" w:val="clear"/>
              </w:rPr>
              <w:t xml:space="preserve">Acao terciaria: Baixar relatorio, Filtrar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4"/>
                <w:spacing w:val="0"/>
                <w:position w:val="0"/>
                <w:sz w:val="18"/>
                <w:shd w:fill="auto" w:val="clear"/>
              </w:rPr>
              <w:t xml:space="preserve">Perigo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dece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FFFF"/>
                <w:spacing w:val="0"/>
                <w:position w:val="0"/>
                <w:sz w:val="18"/>
                <w:shd w:fill="auto" w:val="clear"/>
              </w:rPr>
              <w:t xml:space="preserve">#FDECEA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444444"/>
                <w:spacing w:val="0"/>
                <w:position w:val="0"/>
                <w:sz w:val="18"/>
                <w:shd w:fill="auto" w:val="clear"/>
              </w:rPr>
              <w:t xml:space="preserve">#A32D2D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4"/>
                <w:spacing w:val="0"/>
                <w:position w:val="0"/>
                <w:sz w:val="18"/>
                <w:shd w:fill="auto" w:val="clear"/>
              </w:rPr>
              <w:t xml:space="preserve">Acoes destrutivas: Excluir, Reprovar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B3D2E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B3D2E"/>
          <w:spacing w:val="0"/>
          <w:position w:val="0"/>
          <w:sz w:val="36"/>
          <w:shd w:fill="auto" w:val="clear"/>
        </w:rPr>
        <w:t xml:space="preserve">5. Tom de Voz e Posicionamento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  <w:t xml:space="preserve">A plataforma fala como um servidor publico moderno: responsavel e serio quando necessario, mas direto, humano e acessivel no dia a dia. O tom se adapta ao canal e ao publico, mantendo a mesma essencia.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color="000000" w:fill="1a6b4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 que somos</w:t>
            </w:r>
          </w:p>
        </w:tc>
        <w:tc>
          <w:tcPr>
            <w:tcW w:w="468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color="000000" w:fill="a32d2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 que nao somos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color="000000" w:fill="dff0d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D6A2D"/>
                <w:spacing w:val="0"/>
                <w:position w:val="0"/>
                <w:sz w:val="20"/>
                <w:shd w:fill="auto" w:val="clear"/>
              </w:rPr>
              <w:t xml:space="preserve">+ Confiavel e transparente como orgao de governo</w:t>
            </w:r>
          </w:p>
        </w:tc>
        <w:tc>
          <w:tcPr>
            <w:tcW w:w="4680" w:type="dxa"/>
            <w:tcBorders>
              <w:top w:val="single" w:color="836967" w:sz="1"/>
              <w:left w:val="single" w:color="836967" w:sz="1"/>
              <w:bottom w:val="single" w:color="836967" w:sz="1"/>
              <w:right w:val="single" w:color="836967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32D2D"/>
                <w:spacing w:val="0"/>
                <w:position w:val="0"/>
                <w:sz w:val="20"/>
                <w:shd w:fill="auto" w:val="clear"/>
              </w:rPr>
              <w:t xml:space="preserve">- Burocratico e frio como portal gov antigo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color="000000" w:fill="dff0d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D6A2D"/>
                <w:spacing w:val="0"/>
                <w:position w:val="0"/>
                <w:sz w:val="20"/>
                <w:shd w:fill="auto" w:val="clear"/>
              </w:rPr>
              <w:t xml:space="preserve">+ Moderno e direto como startup de impacto social</w:t>
            </w:r>
          </w:p>
        </w:tc>
        <w:tc>
          <w:tcPr>
            <w:tcW w:w="4680" w:type="dxa"/>
            <w:tcBorders>
              <w:top w:val="single" w:color="836967" w:sz="1"/>
              <w:left w:val="single" w:color="836967" w:sz="1"/>
              <w:bottom w:val="single" w:color="836967" w:sz="1"/>
              <w:right w:val="single" w:color="836967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32D2D"/>
                <w:spacing w:val="0"/>
                <w:position w:val="0"/>
                <w:sz w:val="20"/>
                <w:shd w:fill="auto" w:val="clear"/>
              </w:rPr>
              <w:t xml:space="preserve">- Generico como qualquer plataforma de ESG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color="000000" w:fill="dff0d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D6A2D"/>
                <w:spacing w:val="0"/>
                <w:position w:val="0"/>
                <w:sz w:val="20"/>
                <w:shd w:fill="auto" w:val="clear"/>
              </w:rPr>
              <w:t xml:space="preserve">+ Acessivel para indigenas e auditores da ONU</w:t>
            </w:r>
          </w:p>
        </w:tc>
        <w:tc>
          <w:tcPr>
            <w:tcW w:w="4680" w:type="dxa"/>
            <w:tcBorders>
              <w:top w:val="single" w:color="836967" w:sz="1"/>
              <w:left w:val="single" w:color="836967" w:sz="1"/>
              <w:bottom w:val="single" w:color="836967" w:sz="1"/>
              <w:right w:val="single" w:color="836967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32D2D"/>
                <w:spacing w:val="0"/>
                <w:position w:val="0"/>
                <w:sz w:val="20"/>
                <w:shd w:fill="auto" w:val="clear"/>
              </w:rPr>
              <w:t xml:space="preserve">- Tecnico demais para comunidades locais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color="000000" w:fill="dff0d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D6A2D"/>
                <w:spacing w:val="0"/>
                <w:position w:val="0"/>
                <w:sz w:val="20"/>
                <w:shd w:fill="auto" w:val="clear"/>
              </w:rPr>
              <w:t xml:space="preserve">+ Enraizado na identidade do Cerrado tocantinense</w:t>
            </w:r>
          </w:p>
        </w:tc>
        <w:tc>
          <w:tcPr>
            <w:tcW w:w="4680" w:type="dxa"/>
            <w:tcBorders>
              <w:top w:val="single" w:color="836967" w:sz="1"/>
              <w:left w:val="single" w:color="836967" w:sz="1"/>
              <w:bottom w:val="single" w:color="836967" w:sz="1"/>
              <w:right w:val="single" w:color="836967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32D2D"/>
                <w:spacing w:val="0"/>
                <w:position w:val="0"/>
                <w:sz w:val="20"/>
                <w:shd w:fill="auto" w:val="clear"/>
              </w:rPr>
              <w:t xml:space="preserve">- Visual importado sem identidade regional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  <w:t xml:space="preserve">5.1 Diretrizes de Linguagem</w:t>
      </w:r>
    </w:p>
    <w:p>
      <w:pPr>
        <w:numPr>
          <w:ilvl w:val="0"/>
          <w:numId w:val="14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Usar frases curtas e afirmativas 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 especialmente nas mensagens do WhatsApp</w:t>
      </w:r>
    </w:p>
    <w:p>
      <w:pPr>
        <w:numPr>
          <w:ilvl w:val="0"/>
          <w:numId w:val="14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Evitar jargao tecnico sem explicacao (ex: 'CAR' deve ser sempre acompanhado de 'Cadastro Ambiental Rural' na primeira mencao)</w:t>
      </w:r>
    </w:p>
    <w:p>
      <w:pPr>
        <w:numPr>
          <w:ilvl w:val="0"/>
          <w:numId w:val="14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Chamadas para acao sempre no imperativo positivo: 'Submeta sua proposta', 'Veja o edital', 'Acompanhe seu projeto'</w:t>
      </w:r>
    </w:p>
    <w:p>
      <w:pPr>
        <w:numPr>
          <w:ilvl w:val="0"/>
          <w:numId w:val="14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Mensagens de erro devem ser construtivas: informar o que falta e como corrigir, nunca apenas 'Erro ao enviar'</w:t>
      </w:r>
    </w:p>
    <w:p>
      <w:pPr>
        <w:numPr>
          <w:ilvl w:val="0"/>
          <w:numId w:val="14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Linguagem inclusiva de genero sempre que possivel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  <w:t xml:space="preserve">5.2 Exemplos de Tom por Canal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44444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44444"/>
          <w:spacing w:val="0"/>
          <w:position w:val="0"/>
          <w:sz w:val="24"/>
          <w:shd w:fill="auto" w:val="clear"/>
        </w:rPr>
        <w:t xml:space="preserve">Portal Web (Proponente)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444444"/>
          <w:spacing w:val="0"/>
          <w:position w:val="0"/>
          <w:sz w:val="20"/>
          <w:shd w:fill="auto" w:val="clear"/>
        </w:rPr>
        <w:t xml:space="preserve">"Sua proposta esta quase pronta! Falta apenas o numero do CAR para finalizar o envio."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44444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44444"/>
          <w:spacing w:val="0"/>
          <w:position w:val="0"/>
          <w:sz w:val="24"/>
          <w:shd w:fill="auto" w:val="clear"/>
        </w:rPr>
        <w:t xml:space="preserve">Backoffice (Avaliador)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444444"/>
          <w:spacing w:val="0"/>
          <w:position w:val="0"/>
          <w:sz w:val="20"/>
          <w:shd w:fill="auto" w:val="clear"/>
        </w:rPr>
        <w:t xml:space="preserve">"3 projetos aguardam revisao tecnica. Prazo limite: 5 dias uteis."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44444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44444"/>
          <w:spacing w:val="0"/>
          <w:position w:val="0"/>
          <w:sz w:val="24"/>
          <w:shd w:fill="auto" w:val="clear"/>
        </w:rPr>
        <w:t xml:space="preserve">WhatsApp (Comunidade)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444444"/>
          <w:spacing w:val="0"/>
          <w:position w:val="0"/>
          <w:sz w:val="20"/>
          <w:shd w:fill="auto" w:val="clear"/>
        </w:rPr>
        <w:t xml:space="preserve">"Ola! Sou o assistente do Fundo Climatico do Tocantins. Para comecar sua proposta, me conta: qual e sua comunidade e onde fica sua area de preservacao?"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B3D2E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B3D2E"/>
          <w:spacing w:val="0"/>
          <w:position w:val="0"/>
          <w:sz w:val="36"/>
          <w:shd w:fill="auto" w:val="clear"/>
        </w:rPr>
        <w:t xml:space="preserve">6. Aplicacoes por Portal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  <w:t xml:space="preserve">6.1 Portal de Inscricao (Proponentes)</w:t>
      </w:r>
    </w:p>
    <w:p>
      <w:pPr>
        <w:numPr>
          <w:ilvl w:val="0"/>
          <w:numId w:val="157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Fundo: Areia do Jalapao (#F5F0E8) como cor de pagina</w:t>
      </w:r>
    </w:p>
    <w:p>
      <w:pPr>
        <w:numPr>
          <w:ilvl w:val="0"/>
          <w:numId w:val="157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Header: fundo Cerrado Profundo (#0B3D2E) com logo na versao negativa</w:t>
      </w:r>
    </w:p>
    <w:p>
      <w:pPr>
        <w:numPr>
          <w:ilvl w:val="0"/>
          <w:numId w:val="157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CTAs: botao primario Lima sobre verde-escuro</w:t>
      </w:r>
    </w:p>
    <w:p>
      <w:pPr>
        <w:numPr>
          <w:ilvl w:val="0"/>
          <w:numId w:val="157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Formularios: campos com borda cinza 0.5px, focus ring verde-medio</w:t>
      </w:r>
    </w:p>
    <w:p>
      <w:pPr>
        <w:numPr>
          <w:ilvl w:val="0"/>
          <w:numId w:val="157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Termometro de aprovacao: barra de progresso Lima com estados em Ouro (em analise) e verde (aprovado)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  <w:t xml:space="preserve">6.2 Backoffice do Avaliador</w:t>
      </w:r>
    </w:p>
    <w:p>
      <w:pPr>
        <w:numPr>
          <w:ilvl w:val="0"/>
          <w:numId w:val="16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Kanban: colunas com header verde-escuro, cards brancos com borda colorida por status</w:t>
      </w:r>
    </w:p>
    <w:p>
      <w:pPr>
        <w:numPr>
          <w:ilvl w:val="0"/>
          <w:numId w:val="16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Alertas de prazo: badge Ouro com contagem regressiva</w:t>
      </w:r>
    </w:p>
    <w:p>
      <w:pPr>
        <w:numPr>
          <w:ilvl w:val="0"/>
          <w:numId w:val="16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Filtro antifraude: indicador vermelho com icone de escudo quando imagem suspeita</w:t>
      </w:r>
    </w:p>
    <w:p>
      <w:pPr>
        <w:numPr>
          <w:ilvl w:val="0"/>
          <w:numId w:val="16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Densidade alta de informacao 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 tipografia body 14px, labels 11px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  <w:t xml:space="preserve">6.3 Portal de Transparencia</w:t>
      </w:r>
    </w:p>
    <w:p>
      <w:pPr>
        <w:numPr>
          <w:ilvl w:val="0"/>
          <w:numId w:val="16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Mapa interativo: pins Lima sobre mapa neutro; fotos auditadas com borda verde</w:t>
      </w:r>
    </w:p>
    <w:p>
      <w:pPr>
        <w:numPr>
          <w:ilvl w:val="0"/>
          <w:numId w:val="16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Graficos: verde-medio como cor principal, ouro como secundaria</w:t>
      </w:r>
    </w:p>
    <w:p>
      <w:pPr>
        <w:numPr>
          <w:ilvl w:val="0"/>
          <w:numId w:val="16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Dashboard publico: fundo branco com acentos Lima 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 clean e legivel para auditores internacionais</w:t>
      </w:r>
    </w:p>
    <w:p>
      <w:pPr>
        <w:numPr>
          <w:ilvl w:val="0"/>
          <w:numId w:val="16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Indicadores de genero e idade: icones Tabler + numero em destaque tipografico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6B4A"/>
          <w:spacing w:val="0"/>
          <w:position w:val="0"/>
          <w:sz w:val="28"/>
          <w:shd w:fill="auto" w:val="clear"/>
        </w:rPr>
        <w:t xml:space="preserve">6.4 Interface WhatsApp</w:t>
      </w:r>
    </w:p>
    <w:p>
      <w:pPr>
        <w:numPr>
          <w:ilvl w:val="0"/>
          <w:numId w:val="16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Sem controle visual proprio 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 identidade aplicada via linguagem e estrutura das mensagens</w:t>
      </w:r>
    </w:p>
    <w:p>
      <w:pPr>
        <w:numPr>
          <w:ilvl w:val="0"/>
          <w:numId w:val="16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Mensagens da IA identificadas com prefixo '[Plataforma Tocantins]' na primeira interacao</w:t>
      </w:r>
    </w:p>
    <w:p>
      <w:pPr>
        <w:numPr>
          <w:ilvl w:val="0"/>
          <w:numId w:val="16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Audios gerados por Text-to-Speech: voz feminina, tom calmo, velocidade normal</w:t>
      </w:r>
    </w:p>
    <w:p>
      <w:pPr>
        <w:numPr>
          <w:ilvl w:val="0"/>
          <w:numId w:val="16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Resumo numerado enviado antes da submissao final para revisao clara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B3D2E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B3D2E"/>
          <w:spacing w:val="0"/>
          <w:position w:val="0"/>
          <w:sz w:val="36"/>
          <w:shd w:fill="auto" w:val="clear"/>
        </w:rPr>
        <w:t xml:space="preserve">7. Acessibilidade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  <w:t xml:space="preserve">A plataforma atende publicos com baixo letramento digital e usuarios de leitores de tela. As diretrizes abaixo sao obrigatorias: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7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Contraste minimo de 4.5:1 para texto normal e 3:1 para texto grande (WCAG AA)</w:t>
      </w:r>
    </w:p>
    <w:p>
      <w:pPr>
        <w:numPr>
          <w:ilvl w:val="0"/>
          <w:numId w:val="17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Nunca usar cor como unico indicador de estado 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 sempre acompanhar de icone ou texto</w:t>
      </w:r>
    </w:p>
    <w:p>
      <w:pPr>
        <w:numPr>
          <w:ilvl w:val="0"/>
          <w:numId w:val="17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Todos os campos de formulario com label visivelmente associado (nao apenas placeholder)</w:t>
      </w:r>
    </w:p>
    <w:p>
      <w:pPr>
        <w:numPr>
          <w:ilvl w:val="0"/>
          <w:numId w:val="17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Alt text obrigatorio em todas as imagens funcionais</w:t>
      </w:r>
    </w:p>
    <w:p>
      <w:pPr>
        <w:numPr>
          <w:ilvl w:val="0"/>
          <w:numId w:val="17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Tamanho minimo de area clicavel: 44 x 44px</w:t>
      </w:r>
    </w:p>
    <w:p>
      <w:pPr>
        <w:numPr>
          <w:ilvl w:val="0"/>
          <w:numId w:val="17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0"/>
          <w:shd w:fill="auto" w:val="clear"/>
        </w:rPr>
        <w:t xml:space="preserve">Modo de voz (WhatsApp): toda jornada deve ser completavel sem leitura de texto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18"/>
          <w:shd w:fill="auto" w:val="clear"/>
        </w:rPr>
        <w:t xml:space="preserve">Governo do Estado do Tocantins </w:t>
      </w:r>
      <w:r>
        <w:rPr>
          <w:rFonts w:ascii="Arial" w:hAnsi="Arial" w:cs="Arial" w:eastAsia="Arial"/>
          <w:color w:val="999999"/>
          <w:spacing w:val="0"/>
          <w:position w:val="0"/>
          <w:sz w:val="18"/>
          <w:shd w:fill="auto" w:val="clear"/>
        </w:rPr>
        <w:t xml:space="preserve">—</w:t>
      </w:r>
      <w:r>
        <w:rPr>
          <w:rFonts w:ascii="Arial" w:hAnsi="Arial" w:cs="Arial" w:eastAsia="Arial"/>
          <w:color w:val="999999"/>
          <w:spacing w:val="0"/>
          <w:position w:val="0"/>
          <w:sz w:val="18"/>
          <w:shd w:fill="auto" w:val="clear"/>
        </w:rPr>
        <w:t xml:space="preserve"> Secretaria do Meio Ambiente e Recursos Hidricos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BBBBBB"/>
          <w:spacing w:val="0"/>
          <w:position w:val="0"/>
          <w:sz w:val="16"/>
          <w:shd w:fill="auto" w:val="clear"/>
        </w:rPr>
        <w:t xml:space="preserve">Versao 1.0 </w:t>
      </w:r>
      <w:r>
        <w:rPr>
          <w:rFonts w:ascii="Arial" w:hAnsi="Arial" w:cs="Arial" w:eastAsia="Arial"/>
          <w:i/>
          <w:color w:val="BBBBBB"/>
          <w:spacing w:val="0"/>
          <w:position w:val="0"/>
          <w:sz w:val="16"/>
          <w:shd w:fill="auto" w:val="clear"/>
        </w:rPr>
        <w:t xml:space="preserve">—</w:t>
      </w:r>
      <w:r>
        <w:rPr>
          <w:rFonts w:ascii="Arial" w:hAnsi="Arial" w:cs="Arial" w:eastAsia="Arial"/>
          <w:i/>
          <w:color w:val="BBBBBB"/>
          <w:spacing w:val="0"/>
          <w:position w:val="0"/>
          <w:sz w:val="16"/>
          <w:shd w:fill="auto" w:val="clear"/>
        </w:rPr>
        <w:t xml:space="preserve"> 2025 </w:t>
      </w:r>
      <w:r>
        <w:rPr>
          <w:rFonts w:ascii="Arial" w:hAnsi="Arial" w:cs="Arial" w:eastAsia="Arial"/>
          <w:i/>
          <w:color w:val="BBBBBB"/>
          <w:spacing w:val="0"/>
          <w:position w:val="0"/>
          <w:sz w:val="16"/>
          <w:shd w:fill="auto" w:val="clear"/>
        </w:rPr>
        <w:t xml:space="preserve">· Uso interno e para parceiros do programa JREDD+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18">
    <w:abstractNumId w:val="54"/>
  </w:num>
  <w:num w:numId="45">
    <w:abstractNumId w:val="48"/>
  </w:num>
  <w:num w:numId="68">
    <w:abstractNumId w:val="42"/>
  </w:num>
  <w:num w:numId="76">
    <w:abstractNumId w:val="36"/>
  </w:num>
  <w:num w:numId="141">
    <w:abstractNumId w:val="30"/>
  </w:num>
  <w:num w:numId="157">
    <w:abstractNumId w:val="24"/>
  </w:num>
  <w:num w:numId="160">
    <w:abstractNumId w:val="18"/>
  </w:num>
  <w:num w:numId="163">
    <w:abstractNumId w:val="12"/>
  </w:num>
  <w:num w:numId="166">
    <w:abstractNumId w:val="6"/>
  </w:num>
  <w:num w:numId="17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