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ri10syjvt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f4t9gdclczd9" w:id="1"/>
      <w:bookmarkEnd w:id="1"/>
      <w:r w:rsidDel="00000000" w:rsidR="00000000" w:rsidRPr="00000000">
        <w:rPr>
          <w:rtl w:val="0"/>
        </w:rPr>
        <w:t xml:space="preserve">Sensitive Information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pii - personably identifiable information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pifi - personably identifiable financial information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pmp -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phi - protected health information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pci - payment card information under payment card industry data security standard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