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5B2ECC"/>
          <w:sz w:val="52"/>
          <w:szCs w:val="52"/>
        </w:rPr>
        <w:t xml:space="preserve">Not Self: Minigame Edition</w:t>
      </w:r>
    </w:p>
    <w:p>
      <w:pPr>
        <w:spacing w:after="60"/>
        <w:jc w:val="center"/>
      </w:pPr>
      <w:r>
        <w:rPr>
          <w:rFonts w:ascii="Arial" w:cs="Arial" w:eastAsia="Arial" w:hAnsi="Arial"/>
          <w:color w:val="2D9CDB"/>
          <w:sz w:val="30"/>
          <w:szCs w:val="30"/>
        </w:rPr>
        <w:t xml:space="preserve">License Selection &amp; Contributor License Agreement</w:t>
      </w:r>
    </w:p>
    <w:p>
      <w:pPr>
        <w:spacing w:after="40"/>
        <w:jc w:val="center"/>
      </w:pPr>
      <w:r>
        <w:rPr>
          <w:rFonts w:ascii="Arial" w:cs="Arial" w:eastAsia="Arial" w:hAnsi="Arial"/>
          <w:color w:val="777777"/>
          <w:sz w:val="22"/>
          <w:szCs w:val="22"/>
        </w:rPr>
        <w:t xml:space="preserve">Legal foundations for a sustainable, contributor-protected open-source project</w:t>
      </w:r>
    </w:p>
    <w:p>
      <w:pPr>
        <w:pBdr>
          <w:bottom w:val="single" w:color="5B2ECC" w:sz="6" w:space="4"/>
        </w:pBdr>
        <w:spacing w:after="200" w:before="200"/>
      </w:pPr>
    </w:p>
    <w:p>
      <w:pPr>
        <w:pStyle w:val="Heading1"/>
        <w:spacing w:after="120" w:before="300"/>
      </w:pPr>
      <w:r>
        <w:rPr>
          <w:rFonts w:ascii="Arial" w:cs="Arial" w:eastAsia="Arial" w:hAnsi="Arial"/>
          <w:color w:val="5B2ECC"/>
        </w:rPr>
        <w:t xml:space="preserve">Recommended License: Mozilla Public License 2.0 (MPL 2.0)</w:t>
      </w:r>
    </w:p>
    <w:p>
      <w:pPr>
        <w:spacing w:after="160"/>
      </w:pPr>
      <w:r>
        <w:rPr>
          <w:rFonts w:ascii="Arial" w:cs="Arial" w:eastAsia="Arial" w:hAnsi="Arial"/>
          <w:b w:val="false"/>
          <w:bCs w:val="false"/>
          <w:color w:val="222222"/>
          <w:sz w:val="22"/>
          <w:szCs w:val="22"/>
        </w:rPr>
        <w:t xml:space="preserve">After evaluating all OSI-approved licenses against the project's requirements — a browser-embeddable verification SDK, a Flutter mobile application, an IFS-grounded scoring algorithm, and a requirement that derivative works be open-sourced under an equivalent or more permissive OSI-approved license — Mozilla Public License 2.0 is the correct choice.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BBEE" w:sz="1"/>
              <w:left w:val="single" w:color="5B2ECC" w:sz="12" w:space="0"/>
              <w:bottom w:val="single" w:color="CCBBEE" w:sz="1"/>
              <w:right w:val="single" w:color="CCBBEE" w:sz="1"/>
            </w:tcBorders>
            <w:shd w:fill="EDE8FF" w:val="clear"/>
            <w:tcMar>
              <w:top w:type="dxa" w:w="120"/>
              <w:left w:type="dxa" w:w="200"/>
              <w:bottom w:type="dxa" w:w="120"/>
              <w:right w:type="dxa" w:w="180"/>
            </w:tcMar>
          </w:tcPr>
          <w:p>
            <w:pPr>
              <w:spacing w:after="60"/>
            </w:pPr>
            <w:r>
              <w:rPr>
                <w:rFonts w:ascii="Arial" w:cs="Arial" w:eastAsia="Arial" w:hAnsi="Arial"/>
                <w:b/>
                <w:bCs/>
                <w:color w:val="5B2ECC"/>
                <w:sz w:val="21"/>
                <w:szCs w:val="21"/>
              </w:rPr>
              <w:t xml:space="preserve">Bottom line</w:t>
            </w:r>
          </w:p>
          <w:p>
            <w:pPr>
              <w:spacing w:after="0"/>
            </w:pPr>
            <w:r>
              <w:rPr>
                <w:rFonts w:ascii="Arial" w:cs="Arial" w:eastAsia="Arial" w:hAnsi="Arial"/>
                <w:color w:val="333333"/>
                <w:sz w:val="20"/>
                <w:szCs w:val="20"/>
              </w:rPr>
              <w:t xml:space="preserve">MPL 2.0 is the only major OSI-approved license that threads all three needles at once: (1) explicit patent grant protecting against contributor-patent trolling, (2) file-level copyleft requiring derivative modifications to be open-sourced without forcing downstream apps to open their entire codebase, and (3) compatibility with a 'equally or more permissive' relicensing floor. MIT and BSD have no patent grant and no share-alike. GPL forces entire apps open — killing SDK adoption. MPL 2.0 is the precise fit.</w:t>
            </w:r>
          </w:p>
        </w:tc>
      </w:tr>
    </w:tbl>
    <w:p>
      <w:pPr>
        <w:spacing w:after="160"/>
      </w:pPr>
    </w:p>
    <w:p>
      <w:pPr>
        <w:pStyle w:val="Heading2"/>
        <w:spacing w:after="120" w:before="300"/>
      </w:pPr>
      <w:r>
        <w:rPr>
          <w:rFonts w:ascii="Arial" w:cs="Arial" w:eastAsia="Arial" w:hAnsi="Arial"/>
          <w:color w:val="2D9CDB"/>
        </w:rPr>
        <w:t xml:space="preserve">License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900"/>
        <w:gridCol w:w="2960"/>
      </w:tblGrid>
      <w:tr>
        <w:trPr>
          <w:tblHeader/>
        </w:trPr>
        <w:tc>
          <w:tcPr>
            <w:tcW w:type="dxa" w:w="15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License</w:t>
            </w:r>
          </w:p>
        </w:tc>
        <w:tc>
          <w:tcPr>
            <w:tcW w:type="dxa" w:w="13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Patent grant</w:t>
            </w:r>
          </w:p>
        </w:tc>
        <w:tc>
          <w:tcPr>
            <w:tcW w:type="dxa" w:w="17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Share-alike / Copyleft</w:t>
            </w:r>
          </w:p>
        </w:tc>
        <w:tc>
          <w:tcPr>
            <w:tcW w:type="dxa" w:w="19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SDK adoption</w:t>
            </w:r>
          </w:p>
        </w:tc>
        <w:tc>
          <w:tcPr>
            <w:tcW w:type="dxa" w:w="296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Verdict for this project</w:t>
            </w:r>
          </w:p>
        </w:tc>
      </w:tr>
      <w:tr>
        <w:tc>
          <w:tcPr>
            <w:tcW w:type="dxa" w:w="1600"/>
            <w:tcBorders>
              <w:top w:val="single" w:color="CCBBEE" w:sz="1"/>
              <w:left w:val="single" w:color="CCBBEE" w:sz="1"/>
              <w:bottom w:val="single" w:color="CCBBEE" w:sz="1"/>
              <w:right w:val="single" w:color="CCBBEE" w:sz="1"/>
            </w:tcBorders>
            <w:shd w:fill="F0FFF4" w:val="clear"/>
            <w:tcMar>
              <w:top w:type="dxa" w:w="70"/>
              <w:left w:type="dxa" w:w="120"/>
              <w:bottom w:type="dxa" w:w="70"/>
              <w:right w:type="dxa" w:w="80"/>
            </w:tcMar>
          </w:tcPr>
          <w:p>
            <w:r>
              <w:rPr>
                <w:rFonts w:ascii="Arial" w:cs="Arial" w:eastAsia="Arial" w:hAnsi="Arial"/>
                <w:b/>
                <w:bCs/>
                <w:color w:val="5B2ECC"/>
                <w:sz w:val="18"/>
                <w:szCs w:val="18"/>
              </w:rPr>
              <w:t xml:space="preserve">MPL 2.0</w:t>
            </w:r>
          </w:p>
        </w:tc>
        <w:tc>
          <w:tcPr>
            <w:tcW w:type="dxa" w:w="1400"/>
            <w:tcBorders>
              <w:top w:val="single" w:color="CCBBEE" w:sz="1"/>
              <w:left w:val="single" w:color="CCBBEE" w:sz="1"/>
              <w:bottom w:val="single" w:color="CCBBEE" w:sz="1"/>
              <w:right w:val="single" w:color="CCBBEE" w:sz="1"/>
            </w:tcBorders>
            <w:shd w:fill="F0FFF4" w:val="clear"/>
            <w:tcMar>
              <w:top w:type="dxa" w:w="70"/>
              <w:left w:type="dxa" w:w="80"/>
              <w:bottom w:type="dxa" w:w="70"/>
              <w:right w:type="dxa" w:w="80"/>
            </w:tcMar>
          </w:tcPr>
          <w:p>
            <w:pPr>
              <w:jc w:val="center"/>
            </w:pPr>
            <w:r>
              <w:rPr>
                <w:rFonts w:ascii="Arial" w:cs="Arial" w:eastAsia="Arial" w:hAnsi="Arial"/>
                <w:color w:val="333333"/>
                <w:sz w:val="18"/>
                <w:szCs w:val="18"/>
              </w:rPr>
              <w:t xml:space="preserve">✓ Explicit</w:t>
            </w:r>
          </w:p>
        </w:tc>
        <w:tc>
          <w:tcPr>
            <w:tcW w:type="dxa" w:w="1800"/>
            <w:tcBorders>
              <w:top w:val="single" w:color="CCBBEE" w:sz="1"/>
              <w:left w:val="single" w:color="CCBBEE" w:sz="1"/>
              <w:bottom w:val="single" w:color="CCBBEE" w:sz="1"/>
              <w:right w:val="single" w:color="CCBBEE" w:sz="1"/>
            </w:tcBorders>
            <w:shd w:fill="F0FFF4" w:val="clear"/>
            <w:tcMar>
              <w:top w:type="dxa" w:w="70"/>
              <w:left w:type="dxa" w:w="80"/>
              <w:bottom w:type="dxa" w:w="70"/>
              <w:right w:type="dxa" w:w="80"/>
            </w:tcMar>
          </w:tcPr>
          <w:p>
            <w:pPr>
              <w:jc w:val="center"/>
            </w:pPr>
            <w:r>
              <w:rPr>
                <w:rFonts w:ascii="Arial" w:cs="Arial" w:eastAsia="Arial" w:hAnsi="Arial"/>
                <w:color w:val="333333"/>
                <w:sz w:val="18"/>
                <w:szCs w:val="18"/>
              </w:rPr>
              <w:t xml:space="preserve">File-level — modified files must stay open</w:t>
            </w:r>
          </w:p>
        </w:tc>
        <w:tc>
          <w:tcPr>
            <w:tcW w:type="dxa" w:w="2000"/>
            <w:tcBorders>
              <w:top w:val="single" w:color="CCBBEE" w:sz="1"/>
              <w:left w:val="single" w:color="CCBBEE" w:sz="1"/>
              <w:bottom w:val="single" w:color="CCBBEE" w:sz="1"/>
              <w:right w:val="single" w:color="CCBBEE" w:sz="1"/>
            </w:tcBorders>
            <w:shd w:fill="F0FFF4" w:val="clear"/>
            <w:tcMar>
              <w:top w:type="dxa" w:w="70"/>
              <w:left w:type="dxa" w:w="80"/>
              <w:bottom w:type="dxa" w:w="70"/>
              <w:right w:type="dxa" w:w="80"/>
            </w:tcMar>
          </w:tcPr>
          <w:p>
            <w:pPr>
              <w:jc w:val="center"/>
            </w:pPr>
            <w:r>
              <w:rPr>
                <w:rFonts w:ascii="Arial" w:cs="Arial" w:eastAsia="Arial" w:hAnsi="Arial"/>
                <w:color w:val="333333"/>
                <w:sz w:val="18"/>
                <w:szCs w:val="18"/>
              </w:rPr>
              <w:t xml:space="preserve">✓✓ Moderate</w:t>
            </w:r>
          </w:p>
        </w:tc>
        <w:tc>
          <w:tcPr>
            <w:tcW w:type="dxa" w:w="2560"/>
            <w:tcBorders>
              <w:top w:val="single" w:color="CCBBEE" w:sz="1"/>
              <w:left w:val="single" w:color="CCBBEE" w:sz="1"/>
              <w:bottom w:val="single" w:color="CCBBEE" w:sz="1"/>
              <w:right w:val="single" w:color="CCBBEE" w:sz="1"/>
            </w:tcBorders>
            <w:shd w:fill="F0FFF4" w:val="clear"/>
            <w:tcMar>
              <w:top w:type="dxa" w:w="70"/>
              <w:left w:type="dxa" w:w="80"/>
              <w:bottom w:type="dxa" w:w="70"/>
              <w:right w:type="dxa" w:w="80"/>
            </w:tcMar>
          </w:tcPr>
          <w:p>
            <w:r>
              <w:rPr>
                <w:rFonts w:ascii="Arial" w:cs="Arial" w:eastAsia="Arial" w:hAnsi="Arial"/>
                <w:color w:val="444444"/>
                <w:sz w:val="17"/>
                <w:szCs w:val="17"/>
              </w:rPr>
              <w:t xml:space="preserve">✅ RECOMMENDED — patent grant + file-level share-alike + OSI-approved</w:t>
            </w:r>
          </w:p>
        </w:tc>
      </w:tr>
      <w:tr>
        <w:tc>
          <w:tcPr>
            <w:tcW w:type="dxa" w:w="1600"/>
            <w:tcBorders>
              <w:top w:val="single" w:color="CCBBEE" w:sz="1"/>
              <w:left w:val="single" w:color="CCBBEE" w:sz="1"/>
              <w:bottom w:val="single" w:color="CCBBEE" w:sz="1"/>
              <w:right w:val="single" w:color="CCBBEE" w:sz="1"/>
            </w:tcBorders>
            <w:shd w:fill="FFFFFF" w:val="clear"/>
            <w:tcMar>
              <w:top w:type="dxa" w:w="70"/>
              <w:left w:type="dxa" w:w="120"/>
              <w:bottom w:type="dxa" w:w="70"/>
              <w:right w:type="dxa" w:w="80"/>
            </w:tcMar>
          </w:tcPr>
          <w:p>
            <w:r>
              <w:rPr>
                <w:rFonts w:ascii="Arial" w:cs="Arial" w:eastAsia="Arial" w:hAnsi="Arial"/>
                <w:b/>
                <w:bCs/>
                <w:color w:val="5B2ECC"/>
                <w:sz w:val="18"/>
                <w:szCs w:val="18"/>
              </w:rPr>
              <w:t xml:space="preserve">Apache 2.0</w:t>
            </w:r>
          </w:p>
        </w:tc>
        <w:tc>
          <w:tcPr>
            <w:tcW w:type="dxa" w:w="14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 Explicit</w:t>
            </w:r>
          </w:p>
        </w:tc>
        <w:tc>
          <w:tcPr>
            <w:tcW w:type="dxa" w:w="18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None</w:t>
            </w:r>
          </w:p>
        </w:tc>
        <w:tc>
          <w:tcPr>
            <w:tcW w:type="dxa" w:w="20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 Widest</w:t>
            </w:r>
          </w:p>
        </w:tc>
        <w:tc>
          <w:tcPr>
            <w:tcW w:type="dxa" w:w="256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r>
              <w:rPr>
                <w:rFonts w:ascii="Arial" w:cs="Arial" w:eastAsia="Arial" w:hAnsi="Arial"/>
                <w:color w:val="444444"/>
                <w:sz w:val="17"/>
                <w:szCs w:val="17"/>
              </w:rPr>
              <w:t xml:space="preserve">✗ No share-alike — derivatives can be fully closed. Does not satisfy the requirement.</w:t>
            </w:r>
          </w:p>
        </w:tc>
      </w:tr>
      <w:tr>
        <w:tc>
          <w:tcPr>
            <w:tcW w:type="dxa" w:w="1600"/>
            <w:tcBorders>
              <w:top w:val="single" w:color="CCBBEE" w:sz="1"/>
              <w:left w:val="single" w:color="CCBBEE" w:sz="1"/>
              <w:bottom w:val="single" w:color="CCBBEE" w:sz="1"/>
              <w:right w:val="single" w:color="CCBBEE" w:sz="1"/>
            </w:tcBorders>
            <w:shd w:fill="FFFFFF" w:val="clear"/>
            <w:tcMar>
              <w:top w:type="dxa" w:w="70"/>
              <w:left w:type="dxa" w:w="120"/>
              <w:bottom w:type="dxa" w:w="70"/>
              <w:right w:type="dxa" w:w="80"/>
            </w:tcMar>
          </w:tcPr>
          <w:p>
            <w:r>
              <w:rPr>
                <w:rFonts w:ascii="Arial" w:cs="Arial" w:eastAsia="Arial" w:hAnsi="Arial"/>
                <w:b/>
                <w:bCs/>
                <w:color w:val="5B2ECC"/>
                <w:sz w:val="18"/>
                <w:szCs w:val="18"/>
              </w:rPr>
              <w:t xml:space="preserve">MIT</w:t>
            </w:r>
          </w:p>
        </w:tc>
        <w:tc>
          <w:tcPr>
            <w:tcW w:type="dxa" w:w="14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 None</w:t>
            </w:r>
          </w:p>
        </w:tc>
        <w:tc>
          <w:tcPr>
            <w:tcW w:type="dxa" w:w="18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None</w:t>
            </w:r>
          </w:p>
        </w:tc>
        <w:tc>
          <w:tcPr>
            <w:tcW w:type="dxa" w:w="200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pPr>
              <w:jc w:val="center"/>
            </w:pPr>
            <w:r>
              <w:rPr>
                <w:rFonts w:ascii="Arial" w:cs="Arial" w:eastAsia="Arial" w:hAnsi="Arial"/>
                <w:color w:val="333333"/>
                <w:sz w:val="18"/>
                <w:szCs w:val="18"/>
              </w:rPr>
              <w:t xml:space="preserve">✓✓✓ Widest</w:t>
            </w:r>
          </w:p>
        </w:tc>
        <w:tc>
          <w:tcPr>
            <w:tcW w:type="dxa" w:w="2560"/>
            <w:tcBorders>
              <w:top w:val="single" w:color="CCBBEE" w:sz="1"/>
              <w:left w:val="single" w:color="CCBBEE" w:sz="1"/>
              <w:bottom w:val="single" w:color="CCBBEE" w:sz="1"/>
              <w:right w:val="single" w:color="CCBBEE" w:sz="1"/>
            </w:tcBorders>
            <w:shd w:fill="FFFFFF" w:val="clear"/>
            <w:tcMar>
              <w:top w:type="dxa" w:w="70"/>
              <w:left w:type="dxa" w:w="80"/>
              <w:bottom w:type="dxa" w:w="70"/>
              <w:right w:type="dxa" w:w="80"/>
            </w:tcMar>
          </w:tcPr>
          <w:p>
            <w:r>
              <w:rPr>
                <w:rFonts w:ascii="Arial" w:cs="Arial" w:eastAsia="Arial" w:hAnsi="Arial"/>
                <w:color w:val="444444"/>
                <w:sz w:val="17"/>
                <w:szCs w:val="17"/>
              </w:rPr>
              <w:t xml:space="preserve">✗ No patent grant. No share-alike. Too weak on both counts.</w:t>
            </w:r>
          </w:p>
        </w:tc>
      </w:tr>
      <w:tr>
        <w:tc>
          <w:tcPr>
            <w:tcW w:type="dxa" w:w="1600"/>
            <w:tcBorders>
              <w:top w:val="single" w:color="CCBBEE" w:sz="1"/>
              <w:left w:val="single" w:color="CCBBEE" w:sz="1"/>
              <w:bottom w:val="single" w:color="CCBBEE" w:sz="1"/>
              <w:right w:val="single" w:color="CCBBEE" w:sz="1"/>
            </w:tcBorders>
            <w:shd w:fill="FFF0F0" w:val="clear"/>
            <w:tcMar>
              <w:top w:type="dxa" w:w="70"/>
              <w:left w:type="dxa" w:w="120"/>
              <w:bottom w:type="dxa" w:w="70"/>
              <w:right w:type="dxa" w:w="80"/>
            </w:tcMar>
          </w:tcPr>
          <w:p>
            <w:r>
              <w:rPr>
                <w:rFonts w:ascii="Arial" w:cs="Arial" w:eastAsia="Arial" w:hAnsi="Arial"/>
                <w:b/>
                <w:bCs/>
                <w:color w:val="5B2ECC"/>
                <w:sz w:val="18"/>
                <w:szCs w:val="18"/>
              </w:rPr>
              <w:t xml:space="preserve">BSD 3-Clause</w:t>
            </w:r>
          </w:p>
        </w:tc>
        <w:tc>
          <w:tcPr>
            <w:tcW w:type="dxa" w:w="14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None</w:t>
            </w:r>
          </w:p>
        </w:tc>
        <w:tc>
          <w:tcPr>
            <w:tcW w:type="dxa" w:w="18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None</w:t>
            </w:r>
          </w:p>
        </w:tc>
        <w:tc>
          <w:tcPr>
            <w:tcW w:type="dxa" w:w="20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Wide</w:t>
            </w:r>
          </w:p>
        </w:tc>
        <w:tc>
          <w:tcPr>
            <w:tcW w:type="dxa" w:w="256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r>
              <w:rPr>
                <w:rFonts w:ascii="Arial" w:cs="Arial" w:eastAsia="Arial" w:hAnsi="Arial"/>
                <w:color w:val="444444"/>
                <w:sz w:val="17"/>
                <w:szCs w:val="17"/>
              </w:rPr>
              <w:t xml:space="preserve">✗ Same gaps as MIT.</w:t>
            </w:r>
          </w:p>
        </w:tc>
      </w:tr>
      <w:tr>
        <w:tc>
          <w:tcPr>
            <w:tcW w:type="dxa" w:w="1600"/>
            <w:tcBorders>
              <w:top w:val="single" w:color="CCBBEE" w:sz="1"/>
              <w:left w:val="single" w:color="CCBBEE" w:sz="1"/>
              <w:bottom w:val="single" w:color="CCBBEE" w:sz="1"/>
              <w:right w:val="single" w:color="CCBBEE" w:sz="1"/>
            </w:tcBorders>
            <w:shd w:fill="FFF0F0" w:val="clear"/>
            <w:tcMar>
              <w:top w:type="dxa" w:w="70"/>
              <w:left w:type="dxa" w:w="120"/>
              <w:bottom w:type="dxa" w:w="70"/>
              <w:right w:type="dxa" w:w="80"/>
            </w:tcMar>
          </w:tcPr>
          <w:p>
            <w:r>
              <w:rPr>
                <w:rFonts w:ascii="Arial" w:cs="Arial" w:eastAsia="Arial" w:hAnsi="Arial"/>
                <w:b/>
                <w:bCs/>
                <w:color w:val="5B2ECC"/>
                <w:sz w:val="18"/>
                <w:szCs w:val="18"/>
              </w:rPr>
              <w:t xml:space="preserve">GPL v3</w:t>
            </w:r>
          </w:p>
        </w:tc>
        <w:tc>
          <w:tcPr>
            <w:tcW w:type="dxa" w:w="14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Explicit</w:t>
            </w:r>
          </w:p>
        </w:tc>
        <w:tc>
          <w:tcPr>
            <w:tcW w:type="dxa" w:w="18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Strong — entire linked program</w:t>
            </w:r>
          </w:p>
        </w:tc>
        <w:tc>
          <w:tcPr>
            <w:tcW w:type="dxa" w:w="20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Kills SDK</w:t>
            </w:r>
          </w:p>
        </w:tc>
        <w:tc>
          <w:tcPr>
            <w:tcW w:type="dxa" w:w="256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r>
              <w:rPr>
                <w:rFonts w:ascii="Arial" w:cs="Arial" w:eastAsia="Arial" w:hAnsi="Arial"/>
                <w:color w:val="444444"/>
                <w:sz w:val="17"/>
                <w:szCs w:val="17"/>
              </w:rPr>
              <w:t xml:space="preserve">✗ Any site embedding the SDK must open-source their entire codebase. Destroys adoption.</w:t>
            </w:r>
          </w:p>
        </w:tc>
      </w:tr>
      <w:tr>
        <w:tc>
          <w:tcPr>
            <w:tcW w:type="dxa" w:w="1600"/>
            <w:tcBorders>
              <w:top w:val="single" w:color="CCBBEE" w:sz="1"/>
              <w:left w:val="single" w:color="CCBBEE" w:sz="1"/>
              <w:bottom w:val="single" w:color="CCBBEE" w:sz="1"/>
              <w:right w:val="single" w:color="CCBBEE" w:sz="1"/>
            </w:tcBorders>
            <w:shd w:fill="FFF0F0" w:val="clear"/>
            <w:tcMar>
              <w:top w:type="dxa" w:w="70"/>
              <w:left w:type="dxa" w:w="120"/>
              <w:bottom w:type="dxa" w:w="70"/>
              <w:right w:type="dxa" w:w="80"/>
            </w:tcMar>
          </w:tcPr>
          <w:p>
            <w:r>
              <w:rPr>
                <w:rFonts w:ascii="Arial" w:cs="Arial" w:eastAsia="Arial" w:hAnsi="Arial"/>
                <w:b/>
                <w:bCs/>
                <w:color w:val="5B2ECC"/>
                <w:sz w:val="18"/>
                <w:szCs w:val="18"/>
              </w:rPr>
              <w:t xml:space="preserve">AGPL v3</w:t>
            </w:r>
          </w:p>
        </w:tc>
        <w:tc>
          <w:tcPr>
            <w:tcW w:type="dxa" w:w="14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Explicit</w:t>
            </w:r>
          </w:p>
        </w:tc>
        <w:tc>
          <w:tcPr>
            <w:tcW w:type="dxa" w:w="18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Network use trigger too</w:t>
            </w:r>
          </w:p>
        </w:tc>
        <w:tc>
          <w:tcPr>
            <w:tcW w:type="dxa" w:w="20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Kills SDK</w:t>
            </w:r>
          </w:p>
        </w:tc>
        <w:tc>
          <w:tcPr>
            <w:tcW w:type="dxa" w:w="256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r>
              <w:rPr>
                <w:rFonts w:ascii="Arial" w:cs="Arial" w:eastAsia="Arial" w:hAnsi="Arial"/>
                <w:color w:val="444444"/>
                <w:sz w:val="17"/>
                <w:szCs w:val="17"/>
              </w:rPr>
              <w:t xml:space="preserve">✗ SaaS trigger: any server operating the SDK must open-source their platform.</w:t>
            </w:r>
          </w:p>
        </w:tc>
      </w:tr>
      <w:tr>
        <w:tc>
          <w:tcPr>
            <w:tcW w:type="dxa" w:w="1600"/>
            <w:tcBorders>
              <w:top w:val="single" w:color="CCBBEE" w:sz="1"/>
              <w:left w:val="single" w:color="CCBBEE" w:sz="1"/>
              <w:bottom w:val="single" w:color="CCBBEE" w:sz="1"/>
              <w:right w:val="single" w:color="CCBBEE" w:sz="1"/>
            </w:tcBorders>
            <w:shd w:fill="FFF0F0" w:val="clear"/>
            <w:tcMar>
              <w:top w:type="dxa" w:w="70"/>
              <w:left w:type="dxa" w:w="120"/>
              <w:bottom w:type="dxa" w:w="70"/>
              <w:right w:type="dxa" w:w="80"/>
            </w:tcMar>
          </w:tcPr>
          <w:p>
            <w:r>
              <w:rPr>
                <w:rFonts w:ascii="Arial" w:cs="Arial" w:eastAsia="Arial" w:hAnsi="Arial"/>
                <w:b/>
                <w:bCs/>
                <w:color w:val="5B2ECC"/>
                <w:sz w:val="18"/>
                <w:szCs w:val="18"/>
              </w:rPr>
              <w:t xml:space="preserve">LGPL v3</w:t>
            </w:r>
          </w:p>
        </w:tc>
        <w:tc>
          <w:tcPr>
            <w:tcW w:type="dxa" w:w="14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Explicit</w:t>
            </w:r>
          </w:p>
        </w:tc>
        <w:tc>
          <w:tcPr>
            <w:tcW w:type="dxa" w:w="18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Library-level</w:t>
            </w:r>
          </w:p>
        </w:tc>
        <w:tc>
          <w:tcPr>
            <w:tcW w:type="dxa" w:w="200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pPr>
              <w:jc w:val="center"/>
            </w:pPr>
            <w:r>
              <w:rPr>
                <w:rFonts w:ascii="Arial" w:cs="Arial" w:eastAsia="Arial" w:hAnsi="Arial"/>
                <w:color w:val="333333"/>
                <w:sz w:val="18"/>
                <w:szCs w:val="18"/>
              </w:rPr>
              <w:t xml:space="preserve">⚠ Unclear for Flutter</w:t>
            </w:r>
          </w:p>
        </w:tc>
        <w:tc>
          <w:tcPr>
            <w:tcW w:type="dxa" w:w="2560"/>
            <w:tcBorders>
              <w:top w:val="single" w:color="CCBBEE" w:sz="1"/>
              <w:left w:val="single" w:color="CCBBEE" w:sz="1"/>
              <w:bottom w:val="single" w:color="CCBBEE" w:sz="1"/>
              <w:right w:val="single" w:color="CCBBEE" w:sz="1"/>
            </w:tcBorders>
            <w:shd w:fill="FFF0F0" w:val="clear"/>
            <w:tcMar>
              <w:top w:type="dxa" w:w="70"/>
              <w:left w:type="dxa" w:w="80"/>
              <w:bottom w:type="dxa" w:w="70"/>
              <w:right w:type="dxa" w:w="80"/>
            </w:tcMar>
          </w:tcPr>
          <w:p>
            <w:r>
              <w:rPr>
                <w:rFonts w:ascii="Arial" w:cs="Arial" w:eastAsia="Arial" w:hAnsi="Arial"/>
                <w:color w:val="444444"/>
                <w:sz w:val="17"/>
                <w:szCs w:val="17"/>
              </w:rPr>
              <w:t xml:space="preserve">✗ Flutter single-binary compilation makes the 'dynamic linking' LGPL exception legally ambiguous.</w:t>
            </w:r>
          </w:p>
        </w:tc>
      </w:tr>
    </w:tbl>
    <w:p>
      <w:pPr>
        <w:spacing w:after="160"/>
      </w:pPr>
    </w:p>
    <w:p>
      <w:pPr>
        <w:pStyle w:val="Heading2"/>
        <w:spacing w:after="120" w:before="300"/>
      </w:pPr>
      <w:r>
        <w:rPr>
          <w:rFonts w:ascii="Arial" w:cs="Arial" w:eastAsia="Arial" w:hAnsi="Arial"/>
          <w:color w:val="2D9CDB"/>
        </w:rPr>
        <w:t xml:space="preserve">Why MPL 2.0 Specifically</w:t>
      </w:r>
    </w:p>
    <w:p>
      <w:pPr>
        <w:spacing w:after="160"/>
      </w:pPr>
      <w:r>
        <w:rPr>
          <w:rFonts w:ascii="Arial" w:cs="Arial" w:eastAsia="Arial" w:hAnsi="Arial"/>
          <w:b w:val="false"/>
          <w:bCs w:val="false"/>
          <w:color w:val="222222"/>
          <w:sz w:val="22"/>
          <w:szCs w:val="22"/>
        </w:rPr>
        <w:t xml:space="preserve">Each reason maps to a concrete requirement for this project: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Reason</w:t>
            </w:r>
          </w:p>
        </w:tc>
        <w:tc>
          <w:tcPr>
            <w:tcW w:type="dxa" w:w="676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What it means for Not Self</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Explicit patent grant (§2.1)</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a contributor submits the IFS-scoring algorithm and later patents it, MPL 2.0 Section 2.1 means all downstream users are already licensed. MIT/BSD give no such protection.</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File-level share-alike</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Anyone who modifies the scoring engine, the Parts Mirror game logic, or any other Covered Software file must release those modified files as open source. But they can build proprietary new files alongside. This is the right balance — modifications stay open, but new wrapper products don't have to be.</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Derivatives stay open, SDK adoption survives</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Because the share-alike only applies to modified files (not to code that merely calls the SDK unchanged), websites and apps can embed the browser SDK without open-sourcing their entire product. Compare to GPL, which would apply to the entire linked program.</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Compatible with Apache 2.0 and GPL</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MPL 2.0 files can be combined with Apache 2.0 or GPL v2/v3 code without license conflict. This is important for future contributors who use these dependencies.</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Patent retaliation clause (§5.2)</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Terminates all patent rights granted to any party that sues the project for patent infringement. Identical in effect to Apache 2.0's equivalent clause.</w:t>
            </w:r>
          </w:p>
        </w:tc>
      </w:tr>
      <w:tr>
        <w:tc>
          <w:tcPr>
            <w:tcW w:type="dxa" w:w="2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Used by Firefox, LibreOffice</w:t>
            </w:r>
          </w:p>
        </w:tc>
        <w:tc>
          <w:tcPr>
            <w:tcW w:type="dxa" w:w="6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MPL 2.0 is the production-tested license for browser-distributed, SDK-style open-source software — exactly the use case of this project's browser embed.</w:t>
            </w:r>
          </w:p>
        </w:tc>
      </w:tr>
    </w:tbl>
    <w:p>
      <w:pPr>
        <w:spacing w:after="160"/>
      </w:pPr>
    </w:p>
    <w:p>
      <w:pPr>
        <w:pStyle w:val="Heading2"/>
        <w:spacing w:after="120" w:before="300"/>
      </w:pPr>
      <w:r>
        <w:rPr>
          <w:rFonts w:ascii="Arial" w:cs="Arial" w:eastAsia="Arial" w:hAnsi="Arial"/>
          <w:color w:val="2D9CDB"/>
        </w:rPr>
        <w:t xml:space="preserve">Files to Add to the Repository</w:t>
      </w:r>
    </w:p>
    <w:p>
      <w:pPr>
        <w:spacing w:after="160"/>
      </w:pPr>
      <w:r>
        <w:rPr>
          <w:rFonts w:ascii="Arial" w:cs="Arial" w:eastAsia="Arial" w:hAnsi="Arial"/>
          <w:b w:val="false"/>
          <w:bCs w:val="false"/>
          <w:color w:val="222222"/>
          <w:sz w:val="22"/>
          <w:szCs w:val="22"/>
        </w:rPr>
        <w:t xml:space="preserve">MPL 2.0 requires specific file-level notices. Each source file must carry the MPL 2.0 header notice (Exhibit A). The following repository-level files are also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BBEE" w:sz="1"/>
              <w:left w:val="single" w:color="CCBBEE" w:sz="1"/>
              <w:bottom w:val="single" w:color="CCBBEE" w:sz="1"/>
              <w:right w:val="single" w:color="CCBBEE" w:sz="1"/>
            </w:tcBorders>
            <w:shd w:fill="2D9CDB" w:val="clear"/>
            <w:tcMar>
              <w:top w:type="dxa" w:w="80"/>
              <w:left w:type="dxa" w:w="120"/>
              <w:bottom w:type="dxa" w:w="80"/>
              <w:right w:type="dxa" w:w="80"/>
            </w:tcMar>
          </w:tcPr>
          <w:p>
            <w:r>
              <w:rPr>
                <w:rFonts w:ascii="Arial" w:cs="Arial" w:eastAsia="Arial" w:hAnsi="Arial"/>
                <w:b/>
                <w:bCs/>
                <w:color w:val="FFFFFF"/>
                <w:sz w:val="18"/>
                <w:szCs w:val="18"/>
              </w:rPr>
              <w:t xml:space="preserve">File</w:t>
            </w:r>
          </w:p>
        </w:tc>
        <w:tc>
          <w:tcPr>
            <w:tcW w:type="dxa" w:w="4760"/>
            <w:tcBorders>
              <w:top w:val="single" w:color="CCBBEE" w:sz="1"/>
              <w:left w:val="single" w:color="CCBBEE" w:sz="1"/>
              <w:bottom w:val="single" w:color="CCBBEE" w:sz="1"/>
              <w:right w:val="single" w:color="CCBBEE" w:sz="1"/>
            </w:tcBorders>
            <w:shd w:fill="2D9CDB" w:val="clear"/>
            <w:tcMar>
              <w:top w:type="dxa" w:w="80"/>
              <w:left w:type="dxa" w:w="120"/>
              <w:bottom w:type="dxa" w:w="80"/>
              <w:right w:type="dxa" w:w="80"/>
            </w:tcMar>
          </w:tcPr>
          <w:p>
            <w:r>
              <w:rPr>
                <w:rFonts w:ascii="Arial" w:cs="Arial" w:eastAsia="Arial" w:hAnsi="Arial"/>
                <w:b/>
                <w:bCs/>
                <w:color w:val="FFFFFF"/>
                <w:sz w:val="18"/>
                <w:szCs w:val="18"/>
              </w:rPr>
              <w:t xml:space="preserve">Contents</w:t>
            </w:r>
          </w:p>
        </w:tc>
        <w:tc>
          <w:tcPr>
            <w:tcW w:type="dxa" w:w="2600"/>
            <w:tcBorders>
              <w:top w:val="single" w:color="CCBBEE" w:sz="1"/>
              <w:left w:val="single" w:color="CCBBEE" w:sz="1"/>
              <w:bottom w:val="single" w:color="CCBBEE" w:sz="1"/>
              <w:right w:val="single" w:color="CCBBEE" w:sz="1"/>
            </w:tcBorders>
            <w:shd w:fill="2D9CDB" w:val="clear"/>
            <w:tcMar>
              <w:top w:type="dxa" w:w="80"/>
              <w:left w:type="dxa" w:w="120"/>
              <w:bottom w:type="dxa" w:w="80"/>
              <w:right w:type="dxa" w:w="80"/>
            </w:tcMar>
          </w:tcPr>
          <w:p>
            <w:r>
              <w:rPr>
                <w:rFonts w:ascii="Arial" w:cs="Arial" w:eastAsia="Arial" w:hAnsi="Arial"/>
                <w:b/>
                <w:bCs/>
                <w:color w:val="FFFFFF"/>
                <w:sz w:val="18"/>
                <w:szCs w:val="18"/>
              </w:rPr>
              <w:t xml:space="preserve">Note</w:t>
            </w:r>
          </w:p>
        </w:tc>
      </w:tr>
      <w:tr>
        <w:tc>
          <w:tcPr>
            <w:tcW w:type="dxa" w:w="2000"/>
            <w:tcBorders>
              <w:top w:val="single" w:color="CCBBEE" w:sz="1"/>
              <w:left w:val="single" w:color="CCBBEE" w:sz="1"/>
              <w:bottom w:val="single" w:color="CCBBEE" w:sz="1"/>
              <w:right w:val="single" w:color="CCBBEE" w:sz="1"/>
            </w:tcBorders>
            <w:shd w:fill="EDF5FD" w:val="clear"/>
            <w:tcMar>
              <w:top w:type="dxa" w:w="70"/>
              <w:left w:type="dxa" w:w="100"/>
              <w:bottom w:type="dxa" w:w="70"/>
              <w:right w:type="dxa" w:w="80"/>
            </w:tcMar>
          </w:tcPr>
          <w:p>
            <w:r>
              <w:rPr>
                <w:rFonts w:ascii="Courier New" w:cs="Courier New" w:eastAsia="Courier New" w:hAnsi="Courier New"/>
                <w:b/>
                <w:bCs/>
                <w:color w:val="2D9CDB"/>
                <w:sz w:val="18"/>
                <w:szCs w:val="18"/>
              </w:rPr>
              <w:t xml:space="preserve">LICENSE</w:t>
            </w:r>
          </w:p>
        </w:tc>
        <w:tc>
          <w:tcPr>
            <w:tcW w:type="dxa" w:w="4760"/>
            <w:tcBorders>
              <w:top w:val="single" w:color="CCBBEE" w:sz="1"/>
              <w:left w:val="single" w:color="CCBBEE" w:sz="1"/>
              <w:bottom w:val="single" w:color="CCBBEE" w:sz="1"/>
              <w:right w:val="single" w:color="CCBBEE" w:sz="1"/>
            </w:tcBorders>
            <w:shd w:fill="FFFFFF" w:val="clear"/>
            <w:tcMar>
              <w:top w:type="dxa" w:w="70"/>
              <w:left w:type="dxa" w:w="100"/>
              <w:bottom w:type="dxa" w:w="70"/>
              <w:right w:type="dxa" w:w="80"/>
            </w:tcMar>
          </w:tcPr>
          <w:p>
            <w:r>
              <w:rPr>
                <w:rFonts w:ascii="Arial" w:cs="Arial" w:eastAsia="Arial" w:hAnsi="Arial"/>
                <w:color w:val="333333"/>
                <w:sz w:val="18"/>
                <w:szCs w:val="18"/>
              </w:rPr>
              <w:t xml:space="preserve">Full text of MPL 2.0. Do not modify. Copy from https://www.mozilla.org/en-US/MPL/2.0/</w:t>
            </w:r>
          </w:p>
        </w:tc>
        <w:tc>
          <w:tcPr>
            <w:tcW w:type="dxa" w:w="2600"/>
            <w:tcBorders>
              <w:top w:val="single" w:color="CCBBEE" w:sz="1"/>
              <w:left w:val="single" w:color="CCBBEE" w:sz="1"/>
              <w:bottom w:val="single" w:color="CCBBEE" w:sz="1"/>
              <w:right w:val="single" w:color="CCBBEE" w:sz="1"/>
            </w:tcBorders>
            <w:shd w:fill="FAFAFA" w:val="clear"/>
            <w:tcMar>
              <w:top w:type="dxa" w:w="70"/>
              <w:left w:type="dxa" w:w="100"/>
              <w:bottom w:type="dxa" w:w="70"/>
              <w:right w:type="dxa" w:w="80"/>
            </w:tcMar>
          </w:tcPr>
          <w:p>
            <w:r>
              <w:rPr>
                <w:rFonts w:ascii="Arial" w:cs="Arial" w:eastAsia="Arial" w:hAnsi="Arial"/>
                <w:color w:val="666666"/>
                <w:sz w:val="17"/>
                <w:szCs w:val="17"/>
              </w:rPr>
              <w:t xml:space="preserve">Required. Each source file must also carry the Exhibit A header notice pointing to this file.</w:t>
            </w:r>
          </w:p>
        </w:tc>
      </w:tr>
      <w:tr>
        <w:tc>
          <w:tcPr>
            <w:tcW w:type="dxa" w:w="2000"/>
            <w:tcBorders>
              <w:top w:val="single" w:color="CCBBEE" w:sz="1"/>
              <w:left w:val="single" w:color="CCBBEE" w:sz="1"/>
              <w:bottom w:val="single" w:color="CCBBEE" w:sz="1"/>
              <w:right w:val="single" w:color="CCBBEE" w:sz="1"/>
            </w:tcBorders>
            <w:shd w:fill="EDF5FD" w:val="clear"/>
            <w:tcMar>
              <w:top w:type="dxa" w:w="70"/>
              <w:left w:type="dxa" w:w="100"/>
              <w:bottom w:type="dxa" w:w="70"/>
              <w:right w:type="dxa" w:w="80"/>
            </w:tcMar>
          </w:tcPr>
          <w:p>
            <w:r>
              <w:rPr>
                <w:rFonts w:ascii="Courier New" w:cs="Courier New" w:eastAsia="Courier New" w:hAnsi="Courier New"/>
                <w:b/>
                <w:bCs/>
                <w:color w:val="2D9CDB"/>
                <w:sz w:val="18"/>
                <w:szCs w:val="18"/>
              </w:rPr>
              <w:t xml:space="preserve">NOTICE</w:t>
            </w:r>
          </w:p>
        </w:tc>
        <w:tc>
          <w:tcPr>
            <w:tcW w:type="dxa" w:w="4760"/>
            <w:tcBorders>
              <w:top w:val="single" w:color="CCBBEE" w:sz="1"/>
              <w:left w:val="single" w:color="CCBBEE" w:sz="1"/>
              <w:bottom w:val="single" w:color="CCBBEE" w:sz="1"/>
              <w:right w:val="single" w:color="CCBBEE" w:sz="1"/>
            </w:tcBorders>
            <w:shd w:fill="FFFFFF" w:val="clear"/>
            <w:tcMar>
              <w:top w:type="dxa" w:w="70"/>
              <w:left w:type="dxa" w:w="100"/>
              <w:bottom w:type="dxa" w:w="70"/>
              <w:right w:type="dxa" w:w="80"/>
            </w:tcMar>
          </w:tcPr>
          <w:p>
            <w:r>
              <w:rPr>
                <w:rFonts w:ascii="Arial" w:cs="Arial" w:eastAsia="Arial" w:hAnsi="Arial"/>
                <w:color w:val="333333"/>
                <w:sz w:val="18"/>
                <w:szCs w:val="18"/>
              </w:rPr>
              <w:t xml:space="preserve">Project name, copyright year, founding maintainer names. Format: 'Not Self: Minigame Edition — Copyright [year] [names]'</w:t>
            </w:r>
          </w:p>
        </w:tc>
        <w:tc>
          <w:tcPr>
            <w:tcW w:type="dxa" w:w="2600"/>
            <w:tcBorders>
              <w:top w:val="single" w:color="CCBBEE" w:sz="1"/>
              <w:left w:val="single" w:color="CCBBEE" w:sz="1"/>
              <w:bottom w:val="single" w:color="CCBBEE" w:sz="1"/>
              <w:right w:val="single" w:color="CCBBEE" w:sz="1"/>
            </w:tcBorders>
            <w:shd w:fill="FAFAFA" w:val="clear"/>
            <w:tcMar>
              <w:top w:type="dxa" w:w="70"/>
              <w:left w:type="dxa" w:w="100"/>
              <w:bottom w:type="dxa" w:w="70"/>
              <w:right w:type="dxa" w:w="80"/>
            </w:tcMar>
          </w:tcPr>
          <w:p>
            <w:r>
              <w:rPr>
                <w:rFonts w:ascii="Arial" w:cs="Arial" w:eastAsia="Arial" w:hAnsi="Arial"/>
                <w:color w:val="666666"/>
                <w:sz w:val="17"/>
                <w:szCs w:val="17"/>
              </w:rPr>
              <w:t xml:space="preserve">MPL 2.0 does not mandate a NOTICE file but the CLA requires one. Derivative Works must preserve it (CLA §4c). Contributor names go here.</w:t>
            </w:r>
          </w:p>
        </w:tc>
      </w:tr>
      <w:tr>
        <w:tc>
          <w:tcPr>
            <w:tcW w:type="dxa" w:w="2000"/>
            <w:tcBorders>
              <w:top w:val="single" w:color="CCBBEE" w:sz="1"/>
              <w:left w:val="single" w:color="CCBBEE" w:sz="1"/>
              <w:bottom w:val="single" w:color="CCBBEE" w:sz="1"/>
              <w:right w:val="single" w:color="CCBBEE" w:sz="1"/>
            </w:tcBorders>
            <w:shd w:fill="EDF5FD" w:val="clear"/>
            <w:tcMar>
              <w:top w:type="dxa" w:w="70"/>
              <w:left w:type="dxa" w:w="100"/>
              <w:bottom w:type="dxa" w:w="70"/>
              <w:right w:type="dxa" w:w="80"/>
            </w:tcMar>
          </w:tcPr>
          <w:p>
            <w:r>
              <w:rPr>
                <w:rFonts w:ascii="Courier New" w:cs="Courier New" w:eastAsia="Courier New" w:hAnsi="Courier New"/>
                <w:b/>
                <w:bCs/>
                <w:color w:val="2D9CDB"/>
                <w:sz w:val="18"/>
                <w:szCs w:val="18"/>
              </w:rPr>
              <w:t xml:space="preserve">CONTRIBUTORS.md</w:t>
            </w:r>
          </w:p>
        </w:tc>
        <w:tc>
          <w:tcPr>
            <w:tcW w:type="dxa" w:w="4760"/>
            <w:tcBorders>
              <w:top w:val="single" w:color="CCBBEE" w:sz="1"/>
              <w:left w:val="single" w:color="CCBBEE" w:sz="1"/>
              <w:bottom w:val="single" w:color="CCBBEE" w:sz="1"/>
              <w:right w:val="single" w:color="CCBBEE" w:sz="1"/>
            </w:tcBorders>
            <w:shd w:fill="FFFFFF" w:val="clear"/>
            <w:tcMar>
              <w:top w:type="dxa" w:w="70"/>
              <w:left w:type="dxa" w:w="100"/>
              <w:bottom w:type="dxa" w:w="70"/>
              <w:right w:type="dxa" w:w="80"/>
            </w:tcMar>
          </w:tcPr>
          <w:p>
            <w:r>
              <w:rPr>
                <w:rFonts w:ascii="Arial" w:cs="Arial" w:eastAsia="Arial" w:hAnsi="Arial"/>
                <w:color w:val="333333"/>
                <w:sz w:val="18"/>
                <w:szCs w:val="18"/>
              </w:rPr>
              <w:t xml:space="preserve">All contributors, contribution type, date accepted, cross-linked from README.</w:t>
            </w:r>
          </w:p>
        </w:tc>
        <w:tc>
          <w:tcPr>
            <w:tcW w:type="dxa" w:w="2600"/>
            <w:tcBorders>
              <w:top w:val="single" w:color="CCBBEE" w:sz="1"/>
              <w:left w:val="single" w:color="CCBBEE" w:sz="1"/>
              <w:bottom w:val="single" w:color="CCBBEE" w:sz="1"/>
              <w:right w:val="single" w:color="CCBBEE" w:sz="1"/>
            </w:tcBorders>
            <w:shd w:fill="FAFAFA" w:val="clear"/>
            <w:tcMar>
              <w:top w:type="dxa" w:w="70"/>
              <w:left w:type="dxa" w:w="100"/>
              <w:bottom w:type="dxa" w:w="70"/>
              <w:right w:type="dxa" w:w="80"/>
            </w:tcMar>
          </w:tcPr>
          <w:p>
            <w:r>
              <w:rPr>
                <w:rFonts w:ascii="Arial" w:cs="Arial" w:eastAsia="Arial" w:hAnsi="Arial"/>
                <w:color w:val="666666"/>
                <w:sz w:val="17"/>
                <w:szCs w:val="17"/>
              </w:rPr>
              <w:t xml:space="preserve">Required by CLA §13a. Permanent attribution record. Derivative Works must preserve this file under CLA §4c.</w:t>
            </w:r>
          </w:p>
        </w:tc>
      </w:tr>
      <w:tr>
        <w:tc>
          <w:tcPr>
            <w:tcW w:type="dxa" w:w="2000"/>
            <w:tcBorders>
              <w:top w:val="single" w:color="CCBBEE" w:sz="1"/>
              <w:left w:val="single" w:color="CCBBEE" w:sz="1"/>
              <w:bottom w:val="single" w:color="CCBBEE" w:sz="1"/>
              <w:right w:val="single" w:color="CCBBEE" w:sz="1"/>
            </w:tcBorders>
            <w:shd w:fill="EDF5FD" w:val="clear"/>
            <w:tcMar>
              <w:top w:type="dxa" w:w="70"/>
              <w:left w:type="dxa" w:w="100"/>
              <w:bottom w:type="dxa" w:w="70"/>
              <w:right w:type="dxa" w:w="80"/>
            </w:tcMar>
          </w:tcPr>
          <w:p>
            <w:r>
              <w:rPr>
                <w:rFonts w:ascii="Courier New" w:cs="Courier New" w:eastAsia="Courier New" w:hAnsi="Courier New"/>
                <w:b/>
                <w:bCs/>
                <w:color w:val="2D9CDB"/>
                <w:sz w:val="18"/>
                <w:szCs w:val="18"/>
              </w:rPr>
              <w:t xml:space="preserve">CONTRIBUTOR_LICENSE_AGREEMENT.md</w:t>
            </w:r>
          </w:p>
        </w:tc>
        <w:tc>
          <w:tcPr>
            <w:tcW w:type="dxa" w:w="4760"/>
            <w:tcBorders>
              <w:top w:val="single" w:color="CCBBEE" w:sz="1"/>
              <w:left w:val="single" w:color="CCBBEE" w:sz="1"/>
              <w:bottom w:val="single" w:color="CCBBEE" w:sz="1"/>
              <w:right w:val="single" w:color="CCBBEE" w:sz="1"/>
            </w:tcBorders>
            <w:shd w:fill="FFFFFF" w:val="clear"/>
            <w:tcMar>
              <w:top w:type="dxa" w:w="70"/>
              <w:left w:type="dxa" w:w="100"/>
              <w:bottom w:type="dxa" w:w="70"/>
              <w:right w:type="dxa" w:w="80"/>
            </w:tcMar>
          </w:tcPr>
          <w:p>
            <w:r>
              <w:rPr>
                <w:rFonts w:ascii="Arial" w:cs="Arial" w:eastAsia="Arial" w:hAnsi="Arial"/>
                <w:color w:val="333333"/>
                <w:sz w:val="18"/>
                <w:szCs w:val="18"/>
              </w:rPr>
              <w:t xml:space="preserve">The full CLA text (v2.0 — delivered in the .md file).</w:t>
            </w:r>
          </w:p>
        </w:tc>
        <w:tc>
          <w:tcPr>
            <w:tcW w:type="dxa" w:w="2600"/>
            <w:tcBorders>
              <w:top w:val="single" w:color="CCBBEE" w:sz="1"/>
              <w:left w:val="single" w:color="CCBBEE" w:sz="1"/>
              <w:bottom w:val="single" w:color="CCBBEE" w:sz="1"/>
              <w:right w:val="single" w:color="CCBBEE" w:sz="1"/>
            </w:tcBorders>
            <w:shd w:fill="FAFAFA" w:val="clear"/>
            <w:tcMar>
              <w:top w:type="dxa" w:w="70"/>
              <w:left w:type="dxa" w:w="100"/>
              <w:bottom w:type="dxa" w:w="70"/>
              <w:right w:type="dxa" w:w="80"/>
            </w:tcMar>
          </w:tcPr>
          <w:p>
            <w:r>
              <w:rPr>
                <w:rFonts w:ascii="Arial" w:cs="Arial" w:eastAsia="Arial" w:hAnsi="Arial"/>
                <w:color w:val="666666"/>
                <w:sz w:val="17"/>
                <w:szCs w:val="17"/>
              </w:rPr>
              <w:t xml:space="preserve">Must be linked from README and CONTRIBUTING.md. PR submission constitutes acceptance.</w:t>
            </w:r>
          </w:p>
        </w:tc>
      </w:tr>
      <w:tr>
        <w:tc>
          <w:tcPr>
            <w:tcW w:type="dxa" w:w="2000"/>
            <w:tcBorders>
              <w:top w:val="single" w:color="CCBBEE" w:sz="1"/>
              <w:left w:val="single" w:color="CCBBEE" w:sz="1"/>
              <w:bottom w:val="single" w:color="CCBBEE" w:sz="1"/>
              <w:right w:val="single" w:color="CCBBEE" w:sz="1"/>
            </w:tcBorders>
            <w:shd w:fill="EDF5FD" w:val="clear"/>
            <w:tcMar>
              <w:top w:type="dxa" w:w="70"/>
              <w:left w:type="dxa" w:w="100"/>
              <w:bottom w:type="dxa" w:w="70"/>
              <w:right w:type="dxa" w:w="80"/>
            </w:tcMar>
          </w:tcPr>
          <w:p>
            <w:r>
              <w:rPr>
                <w:rFonts w:ascii="Courier New" w:cs="Courier New" w:eastAsia="Courier New" w:hAnsi="Courier New"/>
                <w:b/>
                <w:bCs/>
                <w:color w:val="2D9CDB"/>
                <w:sz w:val="18"/>
                <w:szCs w:val="18"/>
              </w:rPr>
              <w:t xml:space="preserve">CONTRIBUTING.md</w:t>
            </w:r>
          </w:p>
        </w:tc>
        <w:tc>
          <w:tcPr>
            <w:tcW w:type="dxa" w:w="4760"/>
            <w:tcBorders>
              <w:top w:val="single" w:color="CCBBEE" w:sz="1"/>
              <w:left w:val="single" w:color="CCBBEE" w:sz="1"/>
              <w:bottom w:val="single" w:color="CCBBEE" w:sz="1"/>
              <w:right w:val="single" w:color="CCBBEE" w:sz="1"/>
            </w:tcBorders>
            <w:shd w:fill="FFFFFF" w:val="clear"/>
            <w:tcMar>
              <w:top w:type="dxa" w:w="70"/>
              <w:left w:type="dxa" w:w="100"/>
              <w:bottom w:type="dxa" w:w="70"/>
              <w:right w:type="dxa" w:w="80"/>
            </w:tcMar>
          </w:tcPr>
          <w:p>
            <w:r>
              <w:rPr>
                <w:rFonts w:ascii="Arial" w:cs="Arial" w:eastAsia="Arial" w:hAnsi="Arial"/>
                <w:color w:val="333333"/>
                <w:sz w:val="18"/>
                <w:szCs w:val="18"/>
              </w:rPr>
              <w:t xml:space="preserve">How to contribute: fork, branch, sign-off, PR process. Explicit statement that PR submission = CLA acceptance. Links to CLA and SCORING.md.</w:t>
            </w:r>
          </w:p>
        </w:tc>
        <w:tc>
          <w:tcPr>
            <w:tcW w:type="dxa" w:w="2600"/>
            <w:tcBorders>
              <w:top w:val="single" w:color="CCBBEE" w:sz="1"/>
              <w:left w:val="single" w:color="CCBBEE" w:sz="1"/>
              <w:bottom w:val="single" w:color="CCBBEE" w:sz="1"/>
              <w:right w:val="single" w:color="CCBBEE" w:sz="1"/>
            </w:tcBorders>
            <w:shd w:fill="FAFAFA" w:val="clear"/>
            <w:tcMar>
              <w:top w:type="dxa" w:w="70"/>
              <w:left w:type="dxa" w:w="100"/>
              <w:bottom w:type="dxa" w:w="70"/>
              <w:right w:type="dxa" w:w="80"/>
            </w:tcMar>
          </w:tcPr>
          <w:p>
            <w:r>
              <w:rPr>
                <w:rFonts w:ascii="Arial" w:cs="Arial" w:eastAsia="Arial" w:hAnsi="Arial"/>
                <w:color w:val="666666"/>
                <w:sz w:val="17"/>
                <w:szCs w:val="17"/>
              </w:rPr>
              <w:t xml:space="preserve">Required for open source readiness. Reduces ambiguity about the CLA signing mechanism.</w:t>
            </w:r>
          </w:p>
        </w:tc>
      </w:tr>
    </w:tbl>
    <w:p>
      <w:pPr>
        <w:spacing w:after="160"/>
      </w:pPr>
    </w:p>
    <w:p>
      <w:pPr>
        <w:pBdr>
          <w:bottom w:val="single" w:color="5B2ECC" w:sz="6" w:space="4"/>
        </w:pBdr>
        <w:spacing w:after="200" w:before="200"/>
      </w:pPr>
    </w:p>
    <w:p>
      <w:pPr>
        <w:pStyle w:val="Heading1"/>
        <w:spacing w:after="120" w:before="300"/>
      </w:pPr>
      <w:r>
        <w:rPr>
          <w:rFonts w:ascii="Arial" w:cs="Arial" w:eastAsia="Arial" w:hAnsi="Arial"/>
          <w:color w:val="5B2ECC"/>
        </w:rPr>
        <w:t xml:space="preserve">Contributor License Agreement — Rationale</w:t>
      </w:r>
    </w:p>
    <w:p>
      <w:pPr>
        <w:spacing w:after="160"/>
      </w:pPr>
      <w:r>
        <w:rPr>
          <w:rFonts w:ascii="Arial" w:cs="Arial" w:eastAsia="Arial" w:hAnsi="Arial"/>
          <w:b w:val="false"/>
          <w:bCs w:val="false"/>
          <w:color w:val="222222"/>
          <w:sz w:val="22"/>
          <w:szCs w:val="22"/>
        </w:rPr>
        <w:t xml:space="preserve">MPL 2.0 alone is not sufficient to protect contributors or the project against all foreseeable risks. The CLA extends the protections in five important directions: irrevocability, per-contribution patent rights, share-alike enforcement, contributor-protective rights, and transfer/governance protection.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CCAA" w:sz="1"/>
              <w:left w:val="single" w:color="5B2ECC" w:sz="12" w:space="0"/>
              <w:bottom w:val="single" w:color="DDCCAA" w:sz="1"/>
              <w:right w:val="single" w:color="DDCCAA" w:sz="1"/>
            </w:tcBorders>
            <w:shd w:fill="FFF8F0" w:val="clear"/>
            <w:tcMar>
              <w:top w:type="dxa" w:w="120"/>
              <w:left w:type="dxa" w:w="200"/>
              <w:bottom w:type="dxa" w:w="120"/>
              <w:right w:type="dxa" w:w="180"/>
            </w:tcMar>
          </w:tcPr>
          <w:p>
            <w:pPr>
              <w:spacing w:after="60"/>
            </w:pPr>
            <w:r>
              <w:rPr>
                <w:rFonts w:ascii="Arial" w:cs="Arial" w:eastAsia="Arial" w:hAnsi="Arial"/>
                <w:b/>
                <w:bCs/>
                <w:color w:val="7A5900"/>
                <w:sz w:val="21"/>
                <w:szCs w:val="21"/>
              </w:rPr>
              <w:t xml:space="preserve">The core risk without a CLA</w:t>
            </w:r>
          </w:p>
          <w:p>
            <w:pPr>
              <w:spacing w:after="0"/>
            </w:pPr>
            <w:r>
              <w:rPr>
                <w:rFonts w:ascii="Arial" w:cs="Arial" w:eastAsia="Arial" w:hAnsi="Arial"/>
                <w:color w:val="333333"/>
                <w:sz w:val="20"/>
                <w:szCs w:val="20"/>
              </w:rPr>
              <w:t xml:space="preserve">Without a CLA, a contributor's participation is governed only by MPL 2.0 and the implicit grant created by their submission. In some civil law jurisdictions, an implicit license may be revocable if granted without full understanding. A CLA makes the grant explicitly irrevocable, adds per-contribution patent protection, and crucially adds five new protections that run in the contributor's favour — things MPL 2.0 does not provide at all.</w:t>
            </w:r>
          </w:p>
        </w:tc>
      </w:tr>
    </w:tbl>
    <w:p>
      <w:pPr>
        <w:spacing w:after="160"/>
      </w:pPr>
    </w:p>
    <w:p>
      <w:pPr>
        <w:pStyle w:val="Heading2"/>
        <w:spacing w:after="120" w:before="300"/>
      </w:pPr>
      <w:r>
        <w:rPr>
          <w:rFonts w:ascii="Arial" w:cs="Arial" w:eastAsia="Arial" w:hAnsi="Arial"/>
          <w:color w:val="2D9CDB"/>
        </w:rPr>
        <w:t xml:space="preserve">CLA Clause-by-Clause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Clause</w:t>
            </w:r>
          </w:p>
        </w:tc>
        <w:tc>
          <w:tcPr>
            <w:tcW w:type="dxa" w:w="338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What it says</w:t>
            </w:r>
          </w:p>
        </w:tc>
        <w:tc>
          <w:tcPr>
            <w:tcW w:type="dxa" w:w="378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8"/>
                <w:szCs w:val="18"/>
              </w:rPr>
              <w:t xml:space="preserve">Why it matters</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§2 — Irrevocable copyright grant</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Perpetual, irrevocable copyright license. Explicit clause: 'cannot be withdrawn, rescinded, or revoked by You for any reason, including a change of employment, a change of mind, or a dispute with the Maintainers.'</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Prevents a contributor from claiming their code must be removed after a falling-out. MPL 2.0 alone does not make this explicit — the CLA does.</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§3 — Per-contribution patent grant</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All patent claims necessarily infringed by the Contribution alone or in combination with the Project are licensed to all recipients. Defensive termination if the contributor sues the Project.</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MPL 2.0 grants project-level patent rights. The CLA adds contribution-level rights. Prevents a contributor from submitting an algorithm, later patenting it, and suing users of that specific contribution.</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§4 — Share-alike obligation</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Modified Covered Software files must be released under MPL 2.0 or a Compatible OSI-approved license. Must be at least as open as MPL 2.0 — no more restrictive. Attribution and CONTRIBUTORS.md must be preserved in all Derivative Works.</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This is the new clause added in v2.0. It is the enforcement mechanism for the share-alike requirement. Any Derivative Work that closes the scoring engine or game logic violates this clause and loses its license grant.</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§6 — Contributor retains copyright</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License not assignment. Contributor keeps copyright and can use their work in separate projects.</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Prevents the CLA from feeling like an IP grab. Without this, experienced open-source developers routinely decline to sign.</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§7 — Reciprocal license-back</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Each contributor receives a perpetual, free license to all other contributors' contributions under MPL 2.0. No contributor can be locked out of the collective work.</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NEW in v2.0. Protects contributors from the project being sold or restructured in a way that blocks their access to the code they helped build. The Maintainers grant this; contributors receive it.</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§8 — Patent non-aggression</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Mutual: if the Project (or successor) sues a Contributor using their own contribution against them, all patent licenses in the entire project terminate for the asserting party. Symmetrical: same applies if a Contributor sues the Project.</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NEW in v2.0. Creates a mutual deterrent. Contributors are protected from the project being acquired and weaponised against them. The Project is protected from contributor patent assertions. Both sides lose access if either breaks the non-aggression pact.</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§9 — Warranty of originality</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Contributor warrants they own what they contribute. Employer-IP clause explicitly included.</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Standard but essential. Prevents IP contamination from employer-owned code — the most common source of open-source IP liability.</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§11 — Relicensing floor</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Future relicensing must be to an OSI-approved license that is equally or more permissive than MPL 2.0. Weakening the share-alike requires unanimous contributor consent. Contributors retain the right to use MPL 2.0 forever regardless.</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NEW in v2.0. Prevents bait-and-switch: the project cannot accept contributions under open terms and then relicense to something proprietary or more restrictive. The floor cannot be lowered without consent.</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§12 — Transfer protection</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All Maintainer obligations transfer to any new controlling entity. Contributors get 30 days' notice of material change of control. No transfer can waive contributor rights without their written consent.</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NEW in v2.0. Protects contributors from their work being absorbed into a company that ignores the CLA. The obligations travel with the project, not just with the original Maintainers.</w:t>
            </w:r>
          </w:p>
        </w:tc>
      </w:tr>
      <w:tr>
        <w:tc>
          <w:tcPr>
            <w:tcW w:type="dxa" w:w="22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§15 — Signature by conduct</w:t>
            </w:r>
          </w:p>
        </w:tc>
        <w:tc>
          <w:tcPr>
            <w:tcW w:type="dxa" w:w="3580"/>
            <w:tcBorders>
              <w:top w:val="single" w:color="CCBBEE" w:sz="1"/>
              <w:left w:val="single" w:color="CCBBEE" w:sz="1"/>
              <w:bottom w:val="single" w:color="CCBBEE" w:sz="1"/>
              <w:right w:val="single" w:color="CCBBEE" w:sz="1"/>
            </w:tcBorders>
            <w:shd w:fill="FFFFFF" w:val="clear"/>
            <w:tcMar>
              <w:top w:type="dxa" w:w="80"/>
              <w:left w:type="dxa" w:w="100"/>
              <w:bottom w:type="dxa" w:w="80"/>
              <w:right w:type="dxa" w:w="80"/>
            </w:tcMar>
          </w:tcPr>
          <w:p>
            <w:r>
              <w:rPr>
                <w:rFonts w:ascii="Arial" w:cs="Arial" w:eastAsia="Arial" w:hAnsi="Arial"/>
                <w:color w:val="222222"/>
                <w:sz w:val="18"/>
                <w:szCs w:val="18"/>
              </w:rPr>
              <w:t xml:space="preserve">PR submission = CLA acceptance. DCO sign-off requested for significant contributions.</w:t>
            </w:r>
          </w:p>
        </w:tc>
        <w:tc>
          <w:tcPr>
            <w:tcW w:type="dxa" w:w="3580"/>
            <w:tcBorders>
              <w:top w:val="single" w:color="CCBBEE" w:sz="1"/>
              <w:left w:val="single" w:color="CCBBEE" w:sz="1"/>
              <w:bottom w:val="single" w:color="CCBBEE" w:sz="1"/>
              <w:right w:val="single" w:color="CCBBEE" w:sz="1"/>
            </w:tcBorders>
            <w:shd w:fill="F7F4FF" w:val="clear"/>
            <w:tcMar>
              <w:top w:type="dxa" w:w="80"/>
              <w:left w:type="dxa" w:w="100"/>
              <w:bottom w:type="dxa" w:w="80"/>
              <w:right w:type="dxa" w:w="100"/>
            </w:tcMar>
          </w:tcPr>
          <w:p>
            <w:r>
              <w:rPr>
                <w:rFonts w:ascii="Arial" w:cs="Arial" w:eastAsia="Arial" w:hAnsi="Arial"/>
                <w:color w:val="444444"/>
                <w:sz w:val="18"/>
                <w:szCs w:val="18"/>
              </w:rPr>
              <w:t xml:space="preserve">Zero friction. No DocuSign portal. The act of contributing is the signature. Auditable DCO line for major changes.</w:t>
            </w:r>
          </w:p>
        </w:tc>
      </w:tr>
    </w:tbl>
    <w:p>
      <w:pPr>
        <w:spacing w:after="160"/>
      </w:pPr>
    </w:p>
    <w:p>
      <w:pPr>
        <w:pStyle w:val="Heading2"/>
        <w:spacing w:after="120" w:before="300"/>
      </w:pPr>
      <w:r>
        <w:rPr>
          <w:rFonts w:ascii="Arial" w:cs="Arial" w:eastAsia="Arial" w:hAnsi="Arial"/>
          <w:color w:val="2D9CDB"/>
        </w:rPr>
        <w:t xml:space="preserve">What the CLA Cannot Fully Prevent</w:t>
      </w:r>
    </w:p>
    <w:p>
      <w:pPr>
        <w:spacing w:after="160"/>
      </w:pPr>
      <w:r>
        <w:rPr>
          <w:rFonts w:ascii="Arial" w:cs="Arial" w:eastAsia="Arial" w:hAnsi="Arial"/>
          <w:b w:val="false"/>
          <w:bCs w:val="false"/>
          <w:color w:val="222222"/>
          <w:sz w:val="22"/>
          <w:szCs w:val="22"/>
        </w:rPr>
        <w:t xml:space="preserve">It is important to understand the limits of this framework so the project does not rely on it for protection it does not actually provide: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CCAA" w:sz="1"/>
              <w:left w:val="single" w:color="5B2ECC" w:sz="12" w:space="0"/>
              <w:bottom w:val="single" w:color="DDCCAA" w:sz="1"/>
              <w:right w:val="single" w:color="DDCCAA" w:sz="1"/>
            </w:tcBorders>
            <w:shd w:fill="FFF8F0" w:val="clear"/>
            <w:tcMar>
              <w:top w:type="dxa" w:w="120"/>
              <w:left w:type="dxa" w:w="200"/>
              <w:bottom w:type="dxa" w:w="120"/>
              <w:right w:type="dxa" w:w="180"/>
            </w:tcMar>
          </w:tcPr>
          <w:p>
            <w:pPr>
              <w:spacing w:after="60"/>
            </w:pPr>
            <w:r>
              <w:rPr>
                <w:rFonts w:ascii="Arial" w:cs="Arial" w:eastAsia="Arial" w:hAnsi="Arial"/>
                <w:b/>
                <w:bCs/>
                <w:color w:val="7A5900"/>
                <w:sz w:val="21"/>
                <w:szCs w:val="21"/>
              </w:rPr>
              <w:t xml:space="preserve">Limitation 1 — Moral rights (some jurisdictions)</w:t>
            </w:r>
          </w:p>
          <w:p>
            <w:pPr>
              <w:spacing w:after="0"/>
            </w:pPr>
            <w:r>
              <w:rPr>
                <w:rFonts w:ascii="Arial" w:cs="Arial" w:eastAsia="Arial" w:hAnsi="Arial"/>
                <w:color w:val="333333"/>
                <w:sz w:val="20"/>
                <w:szCs w:val="20"/>
              </w:rPr>
              <w:t xml:space="preserve">In France, Germany, and several other civil law jurisdictions, authors hold 'moral rights' (droit moral) including the right of attribution and the right to object to distortion of their work. These cannot be fully waived by contract. The CLA mitigates this via §13(a) (permanent attribution) and by avoiding substantial distortion of contributions, but cannot guarantee full override in all jurisdictions.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CCAA" w:sz="1"/>
              <w:left w:val="single" w:color="5B2ECC" w:sz="12" w:space="0"/>
              <w:bottom w:val="single" w:color="DDCCAA" w:sz="1"/>
              <w:right w:val="single" w:color="DDCCAA" w:sz="1"/>
            </w:tcBorders>
            <w:shd w:fill="FFF8F0" w:val="clear"/>
            <w:tcMar>
              <w:top w:type="dxa" w:w="120"/>
              <w:left w:type="dxa" w:w="200"/>
              <w:bottom w:type="dxa" w:w="120"/>
              <w:right w:type="dxa" w:w="180"/>
            </w:tcMar>
          </w:tcPr>
          <w:p>
            <w:pPr>
              <w:spacing w:after="60"/>
            </w:pPr>
            <w:r>
              <w:rPr>
                <w:rFonts w:ascii="Arial" w:cs="Arial" w:eastAsia="Arial" w:hAnsi="Arial"/>
                <w:b/>
                <w:bCs/>
                <w:color w:val="7A5900"/>
                <w:sz w:val="21"/>
                <w:szCs w:val="21"/>
              </w:rPr>
              <w:t xml:space="preserve">Limitation 2 — Employer-owned contributions</w:t>
            </w:r>
          </w:p>
          <w:p>
            <w:pPr>
              <w:spacing w:after="0"/>
            </w:pPr>
            <w:r>
              <w:rPr>
                <w:rFonts w:ascii="Arial" w:cs="Arial" w:eastAsia="Arial" w:hAnsi="Arial"/>
                <w:color w:val="333333"/>
                <w:sz w:val="20"/>
                <w:szCs w:val="20"/>
              </w:rPr>
              <w:t xml:space="preserve">If a contributor's employment contract vests all IP in their employer, their individual CLA signature is insufficient — the employer's Corporate CLA (CCLA) would be needed. CLA §9(c) requires contributors to confirm they have employer authorisation, but the project cannot independently verify this. For contributions from developers at large tech companies, request a CCLA or written confirmation of personal-time authorship.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CCAA" w:sz="1"/>
              <w:left w:val="single" w:color="5B2ECC" w:sz="12" w:space="0"/>
              <w:bottom w:val="single" w:color="DDCCAA" w:sz="1"/>
              <w:right w:val="single" w:color="DDCCAA" w:sz="1"/>
            </w:tcBorders>
            <w:shd w:fill="FFF8F0" w:val="clear"/>
            <w:tcMar>
              <w:top w:type="dxa" w:w="120"/>
              <w:left w:type="dxa" w:w="200"/>
              <w:bottom w:type="dxa" w:w="120"/>
              <w:right w:type="dxa" w:w="180"/>
            </w:tcMar>
          </w:tcPr>
          <w:p>
            <w:pPr>
              <w:spacing w:after="60"/>
            </w:pPr>
            <w:r>
              <w:rPr>
                <w:rFonts w:ascii="Arial" w:cs="Arial" w:eastAsia="Arial" w:hAnsi="Arial"/>
                <w:b/>
                <w:bCs/>
                <w:color w:val="7A5900"/>
                <w:sz w:val="21"/>
                <w:szCs w:val="21"/>
              </w:rPr>
              <w:t xml:space="preserve">Limitation 3 — MPL 2.0 share-alike applies only to modified files</w:t>
            </w:r>
          </w:p>
          <w:p>
            <w:pPr>
              <w:spacing w:after="0"/>
            </w:pPr>
            <w:r>
              <w:rPr>
                <w:rFonts w:ascii="Arial" w:cs="Arial" w:eastAsia="Arial" w:hAnsi="Arial"/>
                <w:color w:val="333333"/>
                <w:sz w:val="20"/>
                <w:szCs w:val="20"/>
              </w:rPr>
              <w:t xml:space="preserve">The share-alike obligation (CLA §4 / MPL 2.0) covers modified Covered Software files — not an entire derivative application that merely calls the SDK unchanged. A party that embeds the unmodified browser SDK inside a closed product owes no open-source obligation. Only parties who modify the scoring engine, game logic, or other source files must open those changes. This is by design — strong copyleft (GPL) would kill SDK adoption — but teams should understand the boundary.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AAAA" w:sz="1"/>
              <w:left w:val="single" w:color="5B2ECC" w:sz="12" w:space="0"/>
              <w:bottom w:val="single" w:color="DDAAAA" w:sz="1"/>
              <w:right w:val="single" w:color="DDAAAA" w:sz="1"/>
            </w:tcBorders>
            <w:shd w:fill="FFF0F0" w:val="clear"/>
            <w:tcMar>
              <w:top w:type="dxa" w:w="120"/>
              <w:left w:type="dxa" w:w="200"/>
              <w:bottom w:type="dxa" w:w="120"/>
              <w:right w:type="dxa" w:w="180"/>
            </w:tcMar>
          </w:tcPr>
          <w:p>
            <w:pPr>
              <w:spacing w:after="60"/>
            </w:pPr>
            <w:r>
              <w:rPr>
                <w:rFonts w:ascii="Arial" w:cs="Arial" w:eastAsia="Arial" w:hAnsi="Arial"/>
                <w:b/>
                <w:bCs/>
                <w:color w:val="B83232"/>
                <w:sz w:val="21"/>
                <w:szCs w:val="21"/>
              </w:rPr>
              <w:t xml:space="preserve">Limitation 4 — This document is not legal advice</w:t>
            </w:r>
          </w:p>
          <w:p>
            <w:pPr>
              <w:spacing w:after="0"/>
            </w:pPr>
            <w:r>
              <w:rPr>
                <w:rFonts w:ascii="Arial" w:cs="Arial" w:eastAsia="Arial" w:hAnsi="Arial"/>
                <w:color w:val="333333"/>
                <w:sz w:val="20"/>
                <w:szCs w:val="20"/>
              </w:rPr>
              <w:t xml:space="preserve">This document was prepared to reflect sound open-source practice based on MPL 2.0, the Apache ICLA v2.2, and the Harmony Contributor Agreements. It does not constitute legal advice for any specific jurisdiction. At the point of significant commercial adoption, grant funding, or formal incorporation, engage a lawyer familiar with open-source IP law in your primary operating jurisdiction.</w:t>
            </w:r>
          </w:p>
        </w:tc>
      </w:tr>
    </w:tbl>
    <w:p>
      <w:pPr>
        <w:spacing w:after="160"/>
      </w:pPr>
    </w:p>
    <w:p>
      <w:pPr>
        <w:pBdr>
          <w:bottom w:val="single" w:color="5B2ECC" w:sz="6" w:space="4"/>
        </w:pBdr>
        <w:spacing w:after="200" w:before="200"/>
      </w:pPr>
    </w:p>
    <w:p>
      <w:pPr>
        <w:pStyle w:val="Heading1"/>
        <w:spacing w:after="120" w:before="300"/>
      </w:pPr>
      <w:r>
        <w:rPr>
          <w:rFonts w:ascii="Arial" w:cs="Arial" w:eastAsia="Arial" w:hAnsi="Arial"/>
          <w:color w:val="5B2ECC"/>
        </w:rPr>
        <w:t xml:space="preserve">Implementation Steps</w:t>
      </w:r>
    </w:p>
    <w:p>
      <w:pPr>
        <w:spacing w:after="160"/>
      </w:pPr>
      <w:r>
        <w:rPr>
          <w:rFonts w:ascii="Arial" w:cs="Arial" w:eastAsia="Arial" w:hAnsi="Arial"/>
          <w:b w:val="false"/>
          <w:bCs w:val="false"/>
          <w:color w:val="222222"/>
          <w:sz w:val="22"/>
          <w:szCs w:val="22"/>
        </w:rPr>
        <w:t xml:space="preserve">In order of priority — complete before the project's first external pull request is accepted:</w:t>
      </w:r>
    </w:p>
    <w:p>
      <w:pPr>
        <w:spacing w:after="80"/>
      </w:pPr>
    </w:p>
    <w:p>
      <w:pPr>
        <w:spacing w:after="60" w:before="120"/>
      </w:pPr>
      <w:r>
        <w:rPr>
          <w:rFonts w:ascii="Arial" w:cs="Arial" w:eastAsia="Arial" w:hAnsi="Arial"/>
          <w:b/>
          <w:bCs/>
          <w:color w:val="5B2ECC"/>
          <w:sz w:val="21"/>
          <w:szCs w:val="21"/>
        </w:rPr>
        <w:t xml:space="preserve">Immediate — before hackathon submission</w:t>
      </w:r>
    </w:p>
    <w:p>
      <w:pPr>
        <w:spacing w:after="160"/>
      </w:pPr>
      <w:r>
        <w:rPr>
          <w:rFonts w:ascii="Arial" w:cs="Arial" w:eastAsia="Arial" w:hAnsi="Arial"/>
          <w:b w:val="false"/>
          <w:bCs w:val="false"/>
          <w:color w:val="333333"/>
          <w:sz w:val="20"/>
          <w:szCs w:val="20"/>
        </w:rPr>
        <w:t xml:space="preserve">Add LICENSE (full MPL 2.0 text from mozilla.org) to repo root. Add the Exhibit A header comment to every source file. Add NOTICE file. Add CONTRIBUTORS.md with founding team listed. Link CLA from README: 'By submitting a PR, you accept our CLA.'</w:t>
      </w:r>
    </w:p>
    <w:p>
      <w:pPr>
        <w:spacing w:after="60" w:before="120"/>
      </w:pPr>
      <w:r>
        <w:rPr>
          <w:rFonts w:ascii="Arial" w:cs="Arial" w:eastAsia="Arial" w:hAnsi="Arial"/>
          <w:b/>
          <w:bCs/>
          <w:color w:val="5B2ECC"/>
          <w:sz w:val="21"/>
          <w:szCs w:val="21"/>
        </w:rPr>
        <w:t xml:space="preserve">Before first external PR</w:t>
      </w:r>
    </w:p>
    <w:p>
      <w:pPr>
        <w:spacing w:after="160"/>
      </w:pPr>
      <w:r>
        <w:rPr>
          <w:rFonts w:ascii="Arial" w:cs="Arial" w:eastAsia="Arial" w:hAnsi="Arial"/>
          <w:b w:val="false"/>
          <w:bCs w:val="false"/>
          <w:color w:val="333333"/>
          <w:sz w:val="20"/>
          <w:szCs w:val="20"/>
        </w:rPr>
        <w:t xml:space="preserve">Add CONTRIBUTOR_LICENSE_AGREEMENT.md to repo root. Add CONTRIBUTING.md explaining the CLA, signature-by-conduct mechanism, and DCO sign-off format. Update README with links to both files.</w:t>
      </w:r>
    </w:p>
    <w:p>
      <w:pPr>
        <w:spacing w:after="60" w:before="120"/>
      </w:pPr>
      <w:r>
        <w:rPr>
          <w:rFonts w:ascii="Arial" w:cs="Arial" w:eastAsia="Arial" w:hAnsi="Arial"/>
          <w:b/>
          <w:bCs/>
          <w:color w:val="5B2ECC"/>
          <w:sz w:val="21"/>
          <w:szCs w:val="21"/>
        </w:rPr>
        <w:t xml:space="preserve">As project grows</w:t>
      </w:r>
    </w:p>
    <w:p>
      <w:pPr>
        <w:spacing w:after="160"/>
      </w:pPr>
      <w:r>
        <w:rPr>
          <w:rFonts w:ascii="Arial" w:cs="Arial" w:eastAsia="Arial" w:hAnsi="Arial"/>
          <w:b w:val="false"/>
          <w:bCs w:val="false"/>
          <w:color w:val="333333"/>
          <w:sz w:val="20"/>
          <w:szCs w:val="20"/>
        </w:rPr>
        <w:t xml:space="preserve">Add a GitHub Action (cla-bot or CLA Assistant) that checks new PR authors have agreed, by prior submission history or by commenting 'I have read the CLA and I hereby sign it.' Standard practice at Google Fonts, VS Code extensions, and similar projects.</w:t>
      </w:r>
    </w:p>
    <w:p>
      <w:pPr>
        <w:spacing w:after="60" w:before="120"/>
      </w:pPr>
      <w:r>
        <w:rPr>
          <w:rFonts w:ascii="Arial" w:cs="Arial" w:eastAsia="Arial" w:hAnsi="Arial"/>
          <w:b/>
          <w:bCs/>
          <w:color w:val="5B2ECC"/>
          <w:sz w:val="21"/>
          <w:szCs w:val="21"/>
        </w:rPr>
        <w:t xml:space="preserve">If incorporating or taking funding</w:t>
      </w:r>
    </w:p>
    <w:p>
      <w:pPr>
        <w:spacing w:after="160"/>
      </w:pPr>
      <w:r>
        <w:rPr>
          <w:rFonts w:ascii="Arial" w:cs="Arial" w:eastAsia="Arial" w:hAnsi="Arial"/>
          <w:b w:val="false"/>
          <w:bCs w:val="false"/>
          <w:color w:val="333333"/>
          <w:sz w:val="20"/>
          <w:szCs w:val="20"/>
        </w:rPr>
        <w:t xml:space="preserve">Have the CLA reviewed by an IP lawyer. Add a Corporate CLA (CCLA) template for company contributors. Founding team should each sign the CLA retroactively to formalise their own contributions. Confirm transfer-protection clause (§12) is understood by any investor or acquirer.</w:t>
      </w:r>
    </w:p>
    <w:p>
      <w:pPr>
        <w:spacing w:after="60" w:before="120"/>
      </w:pPr>
      <w:r>
        <w:rPr>
          <w:rFonts w:ascii="Arial" w:cs="Arial" w:eastAsia="Arial" w:hAnsi="Arial"/>
          <w:b/>
          <w:bCs/>
          <w:color w:val="5B2ECC"/>
          <w:sz w:val="21"/>
          <w:szCs w:val="21"/>
        </w:rPr>
        <w:t xml:space="preserve">Ongoing — share-alike enforcement</w:t>
      </w:r>
    </w:p>
    <w:p>
      <w:pPr>
        <w:spacing w:after="160"/>
      </w:pPr>
      <w:r>
        <w:rPr>
          <w:rFonts w:ascii="Arial" w:cs="Arial" w:eastAsia="Arial" w:hAnsi="Arial"/>
          <w:b w:val="false"/>
          <w:bCs w:val="false"/>
          <w:color w:val="333333"/>
          <w:sz w:val="20"/>
          <w:szCs w:val="20"/>
        </w:rPr>
        <w:t xml:space="preserve">Periodically check public forks on GitHub for compliance with CLA §4. Modified Covered Software files in forks should carry MPL 2.0 headers and have source available. Non-compliant forks can be notified that their license grant is terminated under §4 — a stronger enforcement mechanism than pure MPL 2.0 alone provides.</w:t>
      </w:r>
    </w:p>
    <w:p>
      <w:pPr>
        <w:pBdr>
          <w:bottom w:val="single" w:color="5B2ECC" w:sz="6" w:space="4"/>
        </w:pBdr>
        <w:spacing w:after="200" w:before="200"/>
      </w:pPr>
    </w:p>
    <w:p>
      <w:pPr>
        <w:pStyle w:val="Heading1"/>
        <w:spacing w:after="120" w:before="300"/>
      </w:pPr>
      <w:r>
        <w:rPr>
          <w:rFonts w:ascii="Arial" w:cs="Arial" w:eastAsia="Arial" w:hAnsi="Arial"/>
          <w:color w:val="5B2ECC"/>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9"/>
                <w:szCs w:val="19"/>
              </w:rPr>
              <w:t xml:space="preserve">Decision</w:t>
            </w:r>
          </w:p>
        </w:tc>
        <w:tc>
          <w:tcPr>
            <w:tcW w:type="dxa" w:w="5760"/>
            <w:tcBorders>
              <w:top w:val="single" w:color="CCBBEE" w:sz="1"/>
              <w:left w:val="single" w:color="CCBBEE" w:sz="1"/>
              <w:bottom w:val="single" w:color="CCBBEE" w:sz="1"/>
              <w:right w:val="single" w:color="CCBBEE" w:sz="1"/>
            </w:tcBorders>
            <w:shd w:fill="5B2ECC" w:val="clear"/>
            <w:tcMar>
              <w:top w:type="dxa" w:w="80"/>
              <w:left w:type="dxa" w:w="120"/>
              <w:bottom w:type="dxa" w:w="80"/>
              <w:right w:type="dxa" w:w="80"/>
            </w:tcMar>
          </w:tcPr>
          <w:p>
            <w:r>
              <w:rPr>
                <w:rFonts w:ascii="Arial" w:cs="Arial" w:eastAsia="Arial" w:hAnsi="Arial"/>
                <w:b/>
                <w:bCs/>
                <w:color w:val="FFFFFF"/>
                <w:sz w:val="19"/>
                <w:szCs w:val="19"/>
              </w:rPr>
              <w:t xml:space="preserve">Rationale</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License: MPL 2.0 (OSI-approved)</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File-level share-alike: modified Covered Software files must stay open under MPL 2.0 or a Compatible OSI-approved license. Explicit patent grant. No copyleft on unmodified SDK embedding. Used by Firefox, LibreOffice.</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§4 — Share-alike obligation</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Contractually enforces and clarifies MPL 2.0's copyleft boundary. Derivative Works modifying source files must open those files under MPL 2.0 or a more permissive Compatible License. CONTRIBUTORS.md preserved in all forks.</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§7 — Reciprocal license-back</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Each contributor receives a perpetual free license to all other contributors' work. No contributor can be locked out of the project they helped build. Survives any transfer or acquisition.</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§8 — Patent non-aggression</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Mutual deterrent: if the project sues a contributor using their own work, all patent licenses in the project terminate for the asserting party. Symmetrical protection for both sides.</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§11 — Relicensing floor</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Future relicensing must be OSI-approved and equally or more permissive than MPL 2.0. Weakening share-alike requires unanimous contributor consent. Prevents bait-and-switch.</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§12 — Transfer protection</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Maintainer obligations bind any successor entity. Acquisition cannot void contributor rights. 30-day notice required for material change of control.</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CLA §2 — Irrevocable grant</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Explicit irrevocability beyond what MPL 2.0 states. Withdrawal by contributors is legally foreclosed regardless of jurisdiction or circumstance.</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Signature by conduct</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 submission = CLA acceptance. Zero friction. DCO sign-off requested for significant contributions.</w:t>
            </w:r>
          </w:p>
        </w:tc>
      </w:tr>
      <w:tr>
        <w:tc>
          <w:tcPr>
            <w:tcW w:type="dxa" w:w="3600"/>
            <w:tcBorders>
              <w:top w:val="single" w:color="CCBBEE" w:sz="1"/>
              <w:left w:val="single" w:color="CCBBEE" w:sz="1"/>
              <w:bottom w:val="single" w:color="CCBBEE" w:sz="1"/>
              <w:right w:val="single" w:color="CCBBEE" w:sz="1"/>
            </w:tcBorders>
            <w:shd w:fill="EDE8FF" w:val="clear"/>
            <w:tcMar>
              <w:top w:type="dxa" w:w="80"/>
              <w:left w:type="dxa" w:w="120"/>
              <w:bottom w:type="dxa" w:w="80"/>
              <w:right w:type="dxa" w:w="80"/>
            </w:tcMar>
          </w:tcPr>
          <w:p>
            <w:r>
              <w:rPr>
                <w:rFonts w:ascii="Arial" w:cs="Arial" w:eastAsia="Arial" w:hAnsi="Arial"/>
                <w:b/>
                <w:bCs/>
                <w:color w:val="5B2ECC"/>
                <w:sz w:val="19"/>
                <w:szCs w:val="19"/>
              </w:rPr>
              <w:t xml:space="preserve">NOTICE + CONTRIBUTORS.md</w:t>
            </w:r>
          </w:p>
        </w:tc>
        <w:tc>
          <w:tcPr>
            <w:tcW w:type="dxa" w:w="5760"/>
            <w:tcBorders>
              <w:top w:val="single" w:color="CCBBEE" w:sz="1"/>
              <w:left w:val="single" w:color="CCBBEE" w:sz="1"/>
              <w:bottom w:val="single" w:color="CCBBEE" w:sz="1"/>
              <w:right w:val="single" w:color="CCBBEE"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Attribution travels with every compliant fork. MPL 2.0 file headers + CLA §4(c) provide dual enforcement.</w:t>
            </w:r>
          </w:p>
        </w:tc>
      </w:tr>
    </w:tbl>
    <w:p>
      <w:pPr>
        <w:spacing w:after="300"/>
      </w:pPr>
    </w:p>
    <w:p>
      <w:pPr>
        <w:jc w:val="center"/>
      </w:pPr>
      <w:r>
        <w:rPr>
          <w:rFonts w:ascii="Arial" w:cs="Arial" w:eastAsia="Arial" w:hAnsi="Arial"/>
          <w:color w:val="888888"/>
          <w:sz w:val="20"/>
          <w:szCs w:val="20"/>
        </w:rPr>
        <w:t xml:space="preserve">The CLA text itself is in CONTRIBUTOR_LICENSE_AGREEMENT.md — ready to commit to the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5B2ECC"/>
      </w:r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lowerLetter"/>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EC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9CD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2026-03-10T00:51:53.133Z</dcterms:created>
  <dcterms:modified xsi:type="dcterms:W3CDTF">2026-03-10T00:51:53.134Z</dcterms:modified>
</cp:coreProperties>
</file>

<file path=docProps/custom.xml><?xml version="1.0" encoding="utf-8"?>
<Properties xmlns="http://schemas.openxmlformats.org/officeDocument/2006/custom-properties" xmlns:vt="http://schemas.openxmlformats.org/officeDocument/2006/docPropsVTypes"/>
</file>