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Times New Roman" w:hAnsi="Times New Roman"/>
          <w:b/>
          <w:sz w:val="28"/>
        </w:rPr>
        <w:t>ZELO: SISTEMA WEB PARA COMUNICAÇÃO E ACOMPANHAMENTO DE PESSOAS IDOSAS EM CUIDADOS PALIATIVOS ONCOLÓGICOS</w:t>
      </w:r>
    </w:p>
    <w:p>
      <w:pPr>
        <w:spacing w:after="280"/>
        <w:jc w:val="center"/>
      </w:pPr>
      <w:r>
        <w:rPr>
          <w:rFonts w:ascii="Times New Roman" w:hAnsi="Times New Roman"/>
          <w:sz w:val="22"/>
        </w:rPr>
        <w:t>Giovanni Bruno Giovanelli</w:t>
        <w:br/>
        <w:t>Lucas Gabriel Genovezi</w:t>
        <w:br/>
        <w:t>Mateus Henrique Oliveira Vieira</w:t>
        <w:br/>
        <w:t>Thiago Henrique Bonierski</w:t>
        <w:br/>
        <w:t>Vinicius Oliveira Prado</w:t>
        <w:br/>
        <w:t>Cassiana Fagundes</w:t>
      </w:r>
    </w:p>
    <w:p>
      <w:pPr>
        <w:spacing w:before="240" w:after="80"/>
      </w:pPr>
      <w:r>
        <w:rPr>
          <w:rFonts w:ascii="Times New Roman" w:hAnsi="Times New Roman"/>
          <w:b/>
          <w:sz w:val="22"/>
        </w:rPr>
        <w:t>RESUMO</w:t>
      </w:r>
    </w:p>
    <w:p>
      <w:pPr>
        <w:spacing w:after="120" w:line="240" w:lineRule="auto"/>
        <w:jc w:val="both"/>
      </w:pPr>
      <w:r>
        <w:rPr>
          <w:rFonts w:ascii="Times New Roman" w:hAnsi="Times New Roman"/>
          <w:sz w:val="20"/>
        </w:rPr>
        <w:t>Este artigo apresenta o desenvolvimento e a fundamentação do sistema web Zelo, plataforma voltada a apoiar a comunicação, a triagem clínica e o acompanhamento remoto de pessoas idosas com câncer em cuidados paliativos domiciliares. O projeto adota princípios da Engenharia de Software, do Design Centrado no Usuário e da Interação Humano-Computador (IHC), buscando adequar o fluxo digital às necessidades específicas de pacientes idosos, cuidadores familiares e equipe multiprofissional de saúde. A metodologia compreende a elicitação de requisitos funcionais e não funcionais, a modelagem de processos assistenciais em BPMN (cenários AS-IS e TO-BE) e a prototipação das interfaces com foco em usabilidade e acessibilidade (WCAG 2.2 Níveis AA e AAA). A base de conhecimento incorporou dados empíricos de 128 prontuários clínicos de pessoas idosas e um fluxo conversacional de triagem da dor validado por 18 juízes especialistas em gerontologia e cuidados paliativos, com Índice de Validade de Conteúdo (IVC) médio global de 0,95. O Zelo foi organizado em duas camadas integradas: um portal assistencial completo para profissionais de saúde (dashboard de coorte, central de alertas e prontuário multidimensional com prescrição médica estruturada) e uma aplicação mobile-first para pacientes e cuidadores (avaliação sequencial da escala ESAS, mapa anatômico tátil, controle de remédios com dose de resgate SOS e chatbot com árvore determinística para dor severa ≥ 7). Os resultados confirmam a eficácia da arquitetura desacoplada (FastAPI no back-end e JavaScript modular nativo no front-end), garantindo carregamento veloz, prevenção ativa de perda de dados e acolhimento ergonômico que atenua a sobrecarga do cuidador familiar, promovendo a continuidade do cuidado e o alívio da dor total no domicílio.</w:t>
      </w:r>
    </w:p>
    <w:p>
      <w:pPr>
        <w:spacing w:after="360" w:line="240" w:lineRule="auto"/>
      </w:pPr>
      <w:r>
        <w:rPr>
          <w:rFonts w:ascii="Times New Roman" w:hAnsi="Times New Roman"/>
          <w:b/>
          <w:sz w:val="20"/>
        </w:rPr>
        <w:t xml:space="preserve">Palavras-chave: </w:t>
      </w:r>
      <w:r>
        <w:rPr>
          <w:rFonts w:ascii="Times New Roman" w:hAnsi="Times New Roman"/>
          <w:sz w:val="20"/>
        </w:rPr>
        <w:t>Chatbot; Cuidados paliativos; Design centrado no usuário; Interação Humano-Computador; Telessaúde.</w:t>
      </w:r>
    </w:p>
    <w:p>
      <w:pPr>
        <w:spacing w:before="320" w:after="120" w:line="360" w:lineRule="auto"/>
        <w:jc w:val="left"/>
      </w:pPr>
      <w:r>
        <w:rPr>
          <w:rFonts w:ascii="Times New Roman" w:hAnsi="Times New Roman"/>
          <w:b/>
          <w:sz w:val="26"/>
        </w:rPr>
        <w:t>1 INTRODUÇÃO</w:t>
      </w:r>
    </w:p>
    <w:p>
      <w:pPr>
        <w:spacing w:after="120" w:line="360" w:lineRule="auto"/>
        <w:jc w:val="both"/>
      </w:pPr>
      <w:r>
        <w:rPr>
          <w:rFonts w:ascii="Times New Roman" w:hAnsi="Times New Roman"/>
          <w:b w:val="0"/>
          <w:i w:val="0"/>
          <w:sz w:val="24"/>
        </w:rPr>
        <w:t>O envelhecimento populacional acelerado no Brasil impõe reestruturações complexas no modelo de atenção à saúde pública, especialmente diante do aumento substancial da incidência de doenças crônicas não transmissíveis (DCNT), com destaque para as neoplasias oncológicas (Mendes et al., 2018). De acordo com dados estatísticos de saúde pública, mais de 70% dos diagnósticos oncológicos mundiais acometem indivíduos idosos (Estapé, 2018), demandando intervenções especializadas que transcendam a abordagem curativista e incorporem os preceitos dos cuidados paliativos (CP) desde o diagnóstico inicial. Essa tendência de transição demográfica e de aumento na morbidade é acompanhada por uma projeção de crescimento acelerado na demanda global por suporte paliativo para as próximas décadas (Etkind et al., 2017).</w:t>
      </w:r>
    </w:p>
    <w:p>
      <w:pPr>
        <w:spacing w:after="120" w:line="360" w:lineRule="auto"/>
        <w:jc w:val="both"/>
      </w:pPr>
      <w:r>
        <w:rPr>
          <w:rFonts w:ascii="Times New Roman" w:hAnsi="Times New Roman"/>
          <w:b w:val="0"/>
          <w:i w:val="0"/>
          <w:sz w:val="24"/>
        </w:rPr>
        <w:t>O cuidado paliativo estabelece uma abordagem terapêutica focada no alívio do sofrimento multidimensional (físico, social, psicológico e espiritual), norteado pelo conceito de "dor total" estruturado por Cicely Saunders. No entanto, a distribuição de serviços especializados em CP no território nacional permanece geograficamente desigual, concentrando-se na região sudeste e limitando o acesso de pacientes residentes em áreas periféricas ou rurais, o que ressalta a necessidade de fortalecimento e organização desse modelo de atenção de forma descentralizada no âmbito do Sistema Único de Saúde (Brasil, 2018a).</w:t>
      </w:r>
    </w:p>
    <w:p>
      <w:pPr>
        <w:spacing w:after="120" w:line="360" w:lineRule="auto"/>
        <w:jc w:val="both"/>
      </w:pPr>
      <w:r>
        <w:rPr>
          <w:rFonts w:ascii="Times New Roman" w:hAnsi="Times New Roman"/>
          <w:b w:val="0"/>
          <w:i w:val="0"/>
          <w:sz w:val="24"/>
        </w:rPr>
        <w:t>O cenário empírico de referência utilizado como base deste projeto fundamenta-se nos dados da assistência especializada em cuidados paliativos oncológicos de pessoas idosas (Grzybowski, 2023). Essa modalidade assistencial atende predominantemente pacientes provenientes do Sistema Único de Saúde (SUS) e oferece suporte ambulatorial, interconsultas e acompanhamento domiciliar, sendo este último primordial para indivíduos com perda de funcionalidade e dificuldade de locomoção física (Grzybowski, 2023).</w:t>
      </w:r>
    </w:p>
    <w:p>
      <w:pPr>
        <w:spacing w:after="120" w:line="360" w:lineRule="auto"/>
        <w:jc w:val="both"/>
      </w:pPr>
      <w:r>
        <w:rPr>
          <w:rFonts w:ascii="Times New Roman" w:hAnsi="Times New Roman"/>
          <w:b w:val="0"/>
          <w:i w:val="0"/>
          <w:sz w:val="24"/>
        </w:rPr>
        <w:t>A problemática central deste projeto reside na severa dificuldade de monitoramento clínico contínuo e na comunicação fragmentada entre a equipe especializada de saúde e o idoso paliativo em ambiente domiciliar. A pessoa idosa com câncer avançado apresenta uma carga sintomática instável e de rápida exacerbação, manifestando crises de dor severa, dispneia, constipação intestinal, náuseas e sofrimento psíquico, como ansiedade e depressão. Nesse cenário desafiador, a comunicação interpessoal e o suporte contínuo estabelecem-se como pilares fundamentais, embora complexos, para a garantia de uma assistência integrada (Araújo; Silva, 2012).</w:t>
      </w:r>
    </w:p>
    <w:p>
      <w:pPr>
        <w:spacing w:after="120" w:line="360" w:lineRule="auto"/>
        <w:jc w:val="both"/>
      </w:pPr>
      <w:r>
        <w:rPr>
          <w:rFonts w:ascii="Times New Roman" w:hAnsi="Times New Roman"/>
          <w:b w:val="0"/>
          <w:i w:val="0"/>
          <w:sz w:val="24"/>
        </w:rPr>
        <w:t>Na ausência de canais ágeis e qualificados de suporte, familiares e cuidadores vivenciam insegurança e sobrecarga diante do agravamento dos sintomas, especialmente quando precisam tomar decisões relacionadas ao cuidado sem acesso imediato à equipe especializada. Nesse contexto, as dificuldades de comunicação e de acesso aos serviços podem resultar em deslocamentos desgastantes para pessoas idosas fragilizadas, inclusive em situações que poderiam receber orientação ou manejo inicial no ambiente domiciliar (Carvalho et al., 2022; Grzybowski, 2023).</w:t>
      </w:r>
    </w:p>
    <w:p>
      <w:pPr>
        <w:spacing w:after="120" w:line="360" w:lineRule="auto"/>
        <w:jc w:val="both"/>
      </w:pPr>
      <w:r>
        <w:rPr>
          <w:rFonts w:ascii="Times New Roman" w:hAnsi="Times New Roman"/>
          <w:b w:val="0"/>
          <w:i w:val="0"/>
          <w:sz w:val="24"/>
        </w:rPr>
        <w:t>O desenvolvimento do sistema web Zelo justifica-se pelo seu potencial de contribuir para o cuidado domiciliar de pessoas idosas em cuidados paliativos, considerando aspectos humanos, sociais, econômicos e ambientais. Ao oferecer orientações para o acompanhamento e o manejo de sintomas, a plataforma busca apoiar pacientes e familiares no domicílio e facilitar a comunicação com a equipe especializada. Dessa forma, pretende-se favorecer a autonomia do paciente e a continuidade do cuidado, sem substituir a avaliação e a atuação dos profissionais de saúde.</w:t>
      </w:r>
    </w:p>
    <w:p>
      <w:pPr>
        <w:spacing w:after="120" w:line="360" w:lineRule="auto"/>
        <w:jc w:val="both"/>
      </w:pPr>
      <w:r>
        <w:rPr>
          <w:rFonts w:ascii="Times New Roman" w:hAnsi="Times New Roman"/>
          <w:b w:val="0"/>
          <w:i w:val="0"/>
          <w:sz w:val="24"/>
        </w:rPr>
        <w:t>No aspecto econômico e assistencial, o uso da plataforma contribui para evitar deslocamentos clinicamente desnecessários e reduzir despesas familiares com transporte. A organização prévia das informações sobre os sintomas auxilia a equipe multiprofissional na identificação precoce das situações que exigem avaliação médica, ajuste posológico de analgésicos ou encaminhamento aos serviços de urgência, direcionando o tempo dos profissionais para os casos que demandem intervenção especializada. Do ponto de vista ambiental, ao diminuir viagens evitáveis em ambulâncias ou veículos particulares, o sistema reduz o consumo de combustíveis fósseis e emissões veiculares.</w:t>
      </w:r>
    </w:p>
    <w:p>
      <w:pPr>
        <w:spacing w:after="120" w:line="360" w:lineRule="auto"/>
        <w:jc w:val="both"/>
      </w:pPr>
      <w:r>
        <w:rPr>
          <w:rFonts w:ascii="Times New Roman" w:hAnsi="Times New Roman"/>
          <w:b w:val="0"/>
          <w:i w:val="0"/>
          <w:sz w:val="24"/>
        </w:rPr>
        <w:t>Nesse contexto, o Zelo relaciona-se aos Objetivos de Desenvolvimento Sustentável previstos na Agenda 2030 da Organização das Nações Unidas: o ODS 3 (Saúde e Bem-Estar), ao apoiar a continuidade do cuidado; o ODS 9 (Indústria, Inovação e Infraestrutura), ao utilizar recursos digitais no atendimento à saúde; e o ODS 10 (Redução das Desigualdades), ao ampliar o contato com a equipe especializada, especialmente para idosos que enfrentam barreiras de locomoção ou isolamento geográfico (Organização das Nações Unidas, 2015).</w:t>
      </w:r>
    </w:p>
    <w:p>
      <w:pPr>
        <w:spacing w:after="120" w:line="360" w:lineRule="auto"/>
        <w:jc w:val="both"/>
      </w:pPr>
      <w:r>
        <w:rPr>
          <w:rFonts w:ascii="Times New Roman" w:hAnsi="Times New Roman"/>
          <w:b w:val="0"/>
          <w:i w:val="0"/>
          <w:sz w:val="24"/>
        </w:rPr>
        <w:t>Por envolver informações clínicas sensíveis, o desenvolvimento do Zelo observa estritamente os princípios da Lei Geral de Proteção de Dados Pessoais (Brasil, 2018b). O conteúdo clínico incorporado à plataforma fundamenta-se em dados de pesquisa previamente aprovada por Comitê de Ética em Pesquisa sob o Parecer nº 6.218.903, cumprindo a Resolução nº 466/2012 do Conselho Nacional de Saúde (Brasil, 2012; Grzybowski, 2023).</w:t>
      </w:r>
    </w:p>
    <w:p>
      <w:pPr>
        <w:spacing w:after="120" w:line="360" w:lineRule="auto"/>
        <w:jc w:val="both"/>
      </w:pPr>
      <w:r>
        <w:rPr>
          <w:rFonts w:ascii="Times New Roman" w:hAnsi="Times New Roman"/>
          <w:b w:val="0"/>
          <w:i w:val="0"/>
          <w:sz w:val="24"/>
        </w:rPr>
        <w:t>O objetivo geral deste trabalho é desenvolver o sistema web Zelo para apoiar a comunicação entre pacientes, cuidadores e profissionais de saúde, o registro sistemático de sintomas e o acompanhamento remoto de pessoas idosas com câncer em cuidados paliativos domiciliares.</w:t>
      </w:r>
    </w:p>
    <w:p>
      <w:pPr>
        <w:spacing w:after="120" w:line="360" w:lineRule="auto"/>
        <w:jc w:val="both"/>
      </w:pPr>
      <w:r>
        <w:rPr>
          <w:rFonts w:ascii="Times New Roman" w:hAnsi="Times New Roman"/>
          <w:b w:val="0"/>
          <w:i w:val="0"/>
          <w:sz w:val="24"/>
        </w:rPr>
        <w:t>Para alcançar esse objetivo, foram estabelecidos os seguintes objetivos específicos:</w:t>
        <w:br/>
        <w:t>a) Mapear as manifestações clínicas mais prevalentes descritas na literatura e nos registros de 128 prontuários compilados por Grzybowski (2023), contemplando os nove sintomas da escala ESAS para fundamentar a base de conhecimento do software;</w:t>
        <w:br/>
        <w:t>b) Elicitar os requisitos funcionais e não funcionais e as regras de negócio do sistema web Zelo, utilizando a triangulação de informações e a Notação de Modelagem de Processos de Negócio (BPMN) para representar seus fluxos de funcionamento;</w:t>
        <w:br/>
        <w:t>c) Projetar e implementar a arquitetura de interfaces mobile-first e desktop de alta fidelidade, com foco rigoroso na usabilidade e na acessibilidade para pessoas idosas e cuidadores;</w:t>
        <w:br/>
        <w:t>d) Estruturar e integrar o fluxo conversacional do chatbot para triagem da dor, com base em regras previamente validadas por especialistas em cuidados paliativos, promovendo segurança nas orientações farmacológicas e de enfermagem no domicílio;</w:t>
        <w:br/>
        <w:t>e) Realizar testes funcionais e de integração, verificando aspectos de usabilidade (heurísticas de Nielsen) e acessibilidade (WCAG 2.2 AA) do sistema web Zelo.</w:t>
      </w:r>
    </w:p>
    <w:p>
      <w:pPr>
        <w:spacing w:before="320" w:after="120" w:line="360" w:lineRule="auto"/>
        <w:jc w:val="left"/>
      </w:pPr>
      <w:r>
        <w:rPr>
          <w:rFonts w:ascii="Times New Roman" w:hAnsi="Times New Roman"/>
          <w:b/>
          <w:sz w:val="26"/>
        </w:rPr>
        <w:t>2 REFERENCIAL TEÓRICO</w:t>
      </w:r>
    </w:p>
    <w:p>
      <w:pPr>
        <w:spacing w:after="120" w:line="360" w:lineRule="auto"/>
        <w:jc w:val="both"/>
      </w:pPr>
      <w:r>
        <w:rPr>
          <w:rFonts w:ascii="Times New Roman" w:hAnsi="Times New Roman"/>
          <w:b w:val="0"/>
          <w:i w:val="0"/>
          <w:sz w:val="24"/>
        </w:rPr>
        <w:t>Este referencial teórico reúne os fundamentos clínicos e tecnológicos necessários ao desenvolvimento do sistema web Zelo. Inicialmente, são apresentados os conceitos relacionados aos cuidados paliativos oncológicos e ao acompanhamento das manifestações clínicas de pessoas idosas. Em seguida, discutem-se as contribuições da telessaúde para a continuidade do cuidado no ambiente domiciliar. Na dimensão tecnológica, abordam-se os fundamentos da Engenharia de Software, da engenharia de requisitos, do mapeamento e da modelagem de processos, bem como os conceitos de usabilidade e acessibilidade aplicados às necessidades de pessoas idosas. Por fim, são analisados trabalhos relacionados ao uso de agentes conversacionais na saúde.</w:t>
      </w:r>
    </w:p>
    <w:p>
      <w:pPr>
        <w:spacing w:before="320" w:after="120" w:line="360" w:lineRule="auto"/>
        <w:jc w:val="left"/>
      </w:pPr>
      <w:r>
        <w:rPr>
          <w:rFonts w:ascii="Times New Roman" w:hAnsi="Times New Roman"/>
          <w:b/>
          <w:sz w:val="24"/>
        </w:rPr>
        <w:t>2.1 Cuidados Paliativos Oncológicos</w:t>
      </w:r>
    </w:p>
    <w:p>
      <w:pPr>
        <w:spacing w:after="120" w:line="360" w:lineRule="auto"/>
        <w:jc w:val="both"/>
      </w:pPr>
      <w:r>
        <w:rPr>
          <w:rFonts w:ascii="Times New Roman" w:hAnsi="Times New Roman"/>
          <w:b w:val="0"/>
          <w:i w:val="0"/>
          <w:sz w:val="24"/>
        </w:rPr>
        <w:t>Os Cuidados Paliativos constituem uma modalidade de atenção integral à saúde essencial para o manejo do envelhecimento populacional oncológico. Conforme a Organização Mundial da Saúde (OMS), os CP visam melhorar a qualidade de vida de pacientes e seus familiares no enfrentamento de doenças que ameaçam a continuidade da vida, por meio da prevenção e alívio do sofrimento físico, psicossocial e espiritual. Essa conceituação centrada na qualidade de vida e no alívio do sofrimento tem sido refinada por consensos globais recentes, enfatizando a prevenção do sofrimento grave relacionado à saúde (Radbruch et al., 2020), de modo a responder às diretrizes globais sobre o envelhecimento ativo e saudável (Organização Mundial da Saúde, 2015).</w:t>
      </w:r>
    </w:p>
    <w:p>
      <w:pPr>
        <w:spacing w:after="120" w:line="360" w:lineRule="auto"/>
        <w:jc w:val="both"/>
      </w:pPr>
      <w:r>
        <w:rPr>
          <w:rFonts w:ascii="Times New Roman" w:hAnsi="Times New Roman"/>
          <w:b w:val="0"/>
          <w:i w:val="0"/>
          <w:sz w:val="24"/>
        </w:rPr>
        <w:t>No âmbito da oncologia geriátrica, a integração precoce do suporte paliativo preserva a dignidade e a autonomia do idoso (Azevedo et al., 2014), visto que a complexidade clínica é ampliada devido à frequente presença de múltiplas comorbidades crônicas (como hipertensão arterial sistêmica, diabetes mellitus e cardiopatias), as quais alteram a farmacocinética de analgésicos e reduzem a funcionalidade orgânica geral. Dentre as escalas clínicas mundialmente validadas, destaca-se a Edmonton Symptom Assessment System (ESAS). A versão brasileira da ESAS, traduzida e adaptada por Monteiro, Almeida e Kruse (2013), mensura quantitativamente a intensidade de nove sintomas prevalentes (dor, fadiga, náusea, depressão, ansiedade, sonolência, perda de apetite, bem-estar global e dispneia) em régua numérica de 0 a 10, categorizados em intensidade leve (0 a 3), moderada (4 a 6) e grave (7 a 10).</w:t>
      </w:r>
    </w:p>
    <w:p>
      <w:pPr>
        <w:spacing w:before="320" w:after="120" w:line="360" w:lineRule="auto"/>
        <w:jc w:val="left"/>
      </w:pPr>
      <w:r>
        <w:rPr>
          <w:rFonts w:ascii="Times New Roman" w:hAnsi="Times New Roman"/>
          <w:b/>
          <w:sz w:val="24"/>
        </w:rPr>
        <w:t>2.2 Telessaúde e Telenfermagem na Assistência Domiciliar</w:t>
      </w:r>
    </w:p>
    <w:p>
      <w:pPr>
        <w:spacing w:after="120" w:line="360" w:lineRule="auto"/>
        <w:jc w:val="both"/>
      </w:pPr>
      <w:r>
        <w:rPr>
          <w:rFonts w:ascii="Times New Roman" w:hAnsi="Times New Roman"/>
          <w:b w:val="0"/>
          <w:i w:val="0"/>
          <w:sz w:val="24"/>
        </w:rPr>
        <w:t>A integração da telessaúde às práticas assistenciais configura uma importante inovação no acompanhamento contínuo de pacientes crônicos. A OMS conceitua a Saúde Digital (eHealth) e a saúde móvel (mHealth) como o uso de tecnologias de informação e comunicação aplicadas para monitoramento, educação e provisão de cuidados de modo confiável e seguro (World Health Organization, 2018). No Brasil, a Resolução Cofen nº 634/2020 normatizou a teleconsulta de enfermagem para consultas, esclarecimentos e orientações, fortalecendo a telessaúde no SUS (Conselho Federal de Enfermagem, 2020; Lima; Barbosa, 2019).</w:t>
      </w:r>
    </w:p>
    <w:p>
      <w:pPr>
        <w:spacing w:after="120" w:line="360" w:lineRule="auto"/>
        <w:jc w:val="both"/>
      </w:pPr>
      <w:r>
        <w:rPr>
          <w:rFonts w:ascii="Times New Roman" w:hAnsi="Times New Roman"/>
          <w:b w:val="0"/>
          <w:i w:val="0"/>
          <w:sz w:val="24"/>
        </w:rPr>
        <w:t>O uso de sistemas inteligentes de triagem domiciliar, apoiados por fluxos conversacionais orientados (chatbots), potencializa o raciocínio clínico da equipe multiprofissional. O enfermeiro desempenha papel basilar na coordenação do plano terapêutico, no manejo de sintomas complexos e na supervisão da família no domicílio (Silva; Amaral; Malagutti, 2019). Os chatbots atuam como assistentes virtuais capazes de coletar dados padronizados, reforçar cuidados não farmacológicos de conforto e disparar alertas automáticos para descompensações agudas (Kataoka et al., 2021; Barreto et al., 2021).</w:t>
      </w:r>
    </w:p>
    <w:p>
      <w:pPr>
        <w:spacing w:before="320" w:after="120" w:line="360" w:lineRule="auto"/>
        <w:jc w:val="left"/>
      </w:pPr>
      <w:r>
        <w:rPr>
          <w:rFonts w:ascii="Times New Roman" w:hAnsi="Times New Roman"/>
          <w:b/>
          <w:sz w:val="24"/>
        </w:rPr>
        <w:t>2.3 Engenharia de Software e Modelagem BPMN</w:t>
      </w:r>
    </w:p>
    <w:p>
      <w:pPr>
        <w:spacing w:after="120" w:line="360" w:lineRule="auto"/>
        <w:jc w:val="both"/>
      </w:pPr>
      <w:r>
        <w:rPr>
          <w:rFonts w:ascii="Times New Roman" w:hAnsi="Times New Roman"/>
          <w:b w:val="0"/>
          <w:i w:val="0"/>
          <w:sz w:val="24"/>
        </w:rPr>
        <w:t>A Engenharia de Software compreende a aplicação sistemática de métodos e práticas ao desenvolvimento e manutenção de sistemas computacionais qualificados, seguros e evolutivos (Sommerville, 2016; IEEE Computer Society, 2024). A elicitação de requisitos funcionais e não funcionais, conforme a ISO/IEC/IEEE 29148, permite delimitar claramente os serviços esperados e os atributos de qualidade da aplicação.</w:t>
      </w:r>
    </w:p>
    <w:p>
      <w:pPr>
        <w:spacing w:after="120" w:line="360" w:lineRule="auto"/>
        <w:jc w:val="both"/>
      </w:pPr>
      <w:r>
        <w:rPr>
          <w:rFonts w:ascii="Times New Roman" w:hAnsi="Times New Roman"/>
          <w:b w:val="0"/>
          <w:i w:val="0"/>
          <w:sz w:val="24"/>
        </w:rPr>
        <w:t>A Business Process Model and Notation (BPMN 2.0) foi empregada para estruturar visualmente o processo assistencial, comparando o cenário atual tradicional (AS-IS), baseado em registros manuais, contatos telefônicos reativos e consultas presenciais fragmentadas, com o cenário digital futuro (TO-BE), viabilizado pelo Zelo, o qual centraliza o registro da escala ESAS, a triagem conversacional da dor e a emissão de alertas em tempo real para a equipe multidisciplinar (Object Management Group, 2014; Dumas et al., 2018).</w:t>
      </w:r>
    </w:p>
    <w:p>
      <w:pPr>
        <w:spacing w:before="320" w:after="120" w:line="360" w:lineRule="auto"/>
        <w:jc w:val="left"/>
      </w:pPr>
      <w:r>
        <w:rPr>
          <w:rFonts w:ascii="Times New Roman" w:hAnsi="Times New Roman"/>
          <w:b/>
          <w:sz w:val="24"/>
        </w:rPr>
        <w:t>2.4 Usabilidade e Acessibilidade para Pessoas Idosas</w:t>
      </w:r>
    </w:p>
    <w:p>
      <w:pPr>
        <w:spacing w:after="120" w:line="360" w:lineRule="auto"/>
        <w:jc w:val="both"/>
      </w:pPr>
      <w:r>
        <w:rPr>
          <w:rFonts w:ascii="Times New Roman" w:hAnsi="Times New Roman"/>
          <w:b w:val="0"/>
          <w:i w:val="0"/>
          <w:sz w:val="24"/>
        </w:rPr>
        <w:t>A usabilidade envolve efetividade, eficiência e satisfação no contexto de uso (ISO 9241-11:2018). As Diretrizes de Acessibilidade para Conteúdo Web (WCAG 2.2) estruturam seus critérios nos princípios da percepção, operabilidade, compreensibilidade e robustez (W3C, 2024). Em pessoas idosas fragilizadas, o declínio da acuidade visual, o tremor senil, a fraqueza muscular e a fadiga cognitiva impõem interfaces com alto contraste cromático (≥ 7:1), alvos de toque generosos (≥ 56px), tipografia mínima de 18px e o princípio da tela única por tarefa (chunking cognitivo), neutralizando erros de digitação e sobrecarga mental (W3C, [s.d.]).</w:t>
      </w:r>
    </w:p>
    <w:p>
      <w:pPr>
        <w:spacing w:before="320" w:after="120" w:line="360" w:lineRule="auto"/>
        <w:jc w:val="left"/>
      </w:pPr>
      <w:r>
        <w:rPr>
          <w:rFonts w:ascii="Times New Roman" w:hAnsi="Times New Roman"/>
          <w:b/>
          <w:sz w:val="24"/>
        </w:rPr>
        <w:t>2.5 Trabalhos Relacionados e Diferencial do Sistema Zelo</w:t>
      </w:r>
    </w:p>
    <w:p>
      <w:pPr>
        <w:spacing w:after="120" w:line="360" w:lineRule="auto"/>
        <w:jc w:val="both"/>
      </w:pPr>
      <w:r>
        <w:rPr>
          <w:rFonts w:ascii="Times New Roman" w:hAnsi="Times New Roman"/>
          <w:b w:val="0"/>
          <w:i w:val="0"/>
          <w:sz w:val="24"/>
        </w:rPr>
        <w:t>Diferentes agentes conversacionais na saúde foram documentados na literatura. O GISSA Chatbot (Barreto et al., 2021) direcionou-se à promoção da saúde materno-infantil. No cenário oncológico, Kataoka et al. (2021) avaliaram um chatbot educativo para pacientes com câncer de pulmão, e Chaix et al. (2019) analisaram o chatbot Vik para suporte e adesão em câncer de mama. Utami et al. (2017) investigaram um agente virtual focado no planejamento de diretivas antecipadas de vontade. Conforme sintetizado na Tabela 1, o diferencial proposto pelo sistema Zelo reside na sua integração clínica multidimensional: associação direta entre o automonitoramento da escala ESAS, o acionamento de um script conversacional validado para dor severa (≥ 7) e a emissão imediata de alertas estruturados em um painel assistencial hospitalar com prontuário integrado.</w:t>
      </w:r>
    </w:p>
    <w:p>
      <w:pPr>
        <w:spacing w:before="320" w:after="120" w:line="360" w:lineRule="auto"/>
        <w:jc w:val="left"/>
      </w:pPr>
      <w:r>
        <w:rPr>
          <w:rFonts w:ascii="Times New Roman" w:hAnsi="Times New Roman"/>
          <w:b/>
          <w:sz w:val="26"/>
        </w:rPr>
        <w:t>3 METODOLOGIA</w:t>
      </w:r>
    </w:p>
    <w:p>
      <w:pPr>
        <w:spacing w:after="120" w:line="360" w:lineRule="auto"/>
        <w:jc w:val="both"/>
      </w:pPr>
      <w:r>
        <w:rPr>
          <w:rFonts w:ascii="Times New Roman" w:hAnsi="Times New Roman"/>
          <w:b w:val="0"/>
          <w:i w:val="0"/>
          <w:sz w:val="24"/>
        </w:rPr>
        <w:t>Este estudo caracteriza-se como pesquisa aplicada, de desenvolvimento tecnológico e abordagem mista, conduzida sob a perspectiva da Engenharia de Software. O percurso metodológico organizou-se em seis fases correlacionadas (Grzybowski, 2023):</w:t>
        <w:br/>
        <w:t>• Fase I: Identificação das manifestações clínicas prevalentes mediante revisão de escopo de 26 artigos científicos, destacando dor (14 estudos), dispneia (10 estudos) e fadiga (9 estudos);</w:t>
        <w:br/>
        <w:t>• Fase II: Delineamento clínico do público-alvo por meio de análise retrospectiva de 128 prontuários de pessoas idosas com câncer em cuidados paliativos domiciliares, revelando dor em 57,81% dos casos, constipação em 15,63%, dispneia em 14,06% e cuidadores familiares presentes em 70,97% dos lares;</w:t>
        <w:br/>
        <w:t>• Fase III: Elicitação de requisitos funcionais e não funcionais e modelagem de processos BPMN (AS-IS e TO-BE);</w:t>
        <w:br/>
        <w:t>• Fase IV: Prototipação e Design System no Figma com diretrizes de acessibilidade para a pessoa idosa;</w:t>
        <w:br/>
        <w:t>• Fase V: Desenvolvimento dos cenários clínicos e diálogos do chatbot com perguntas binárias objetivas;</w:t>
        <w:br/>
        <w:t>• Fase VI: Validação de conteúdo da árvore de decisão por comitê multidisciplinar de 18 juízes especialistas em cuidados paliativos e gerontologia, atingindo Índice de Validade de Conteúdo (IVC) médio global de 0,95.</w:t>
      </w:r>
    </w:p>
    <w:p>
      <w:pPr>
        <w:spacing w:after="120" w:line="360" w:lineRule="auto"/>
        <w:jc w:val="both"/>
      </w:pPr>
      <w:r>
        <w:rPr>
          <w:rFonts w:ascii="Times New Roman" w:hAnsi="Times New Roman"/>
          <w:b w:val="0"/>
          <w:i w:val="0"/>
          <w:sz w:val="24"/>
        </w:rPr>
        <w:t>Aspectos Éticos: Os dados clínicos de referência derivam de pesquisa aprovada pelo Comitê de Ética em Pesquisa sob o Parecer nº 6.218.903, conforme a Resolução CNS nº 466/2012 e os preceitos de privacidade e confidencialidade da Lei Geral de Proteção de Dados Pessoais (LGPD).</w:t>
      </w:r>
    </w:p>
    <w:p>
      <w:pPr>
        <w:spacing w:before="320" w:after="120" w:line="360" w:lineRule="auto"/>
        <w:jc w:val="left"/>
      </w:pPr>
      <w:r>
        <w:rPr>
          <w:rFonts w:ascii="Times New Roman" w:hAnsi="Times New Roman"/>
          <w:b/>
          <w:sz w:val="26"/>
        </w:rPr>
        <w:t>4 RESULTADOS E DISCUSSÃO</w:t>
      </w:r>
    </w:p>
    <w:p>
      <w:pPr>
        <w:spacing w:after="120" w:line="360" w:lineRule="auto"/>
        <w:jc w:val="both"/>
      </w:pPr>
      <w:r>
        <w:rPr>
          <w:rFonts w:ascii="Times New Roman" w:hAnsi="Times New Roman"/>
          <w:b w:val="0"/>
          <w:i w:val="0"/>
          <w:sz w:val="24"/>
        </w:rPr>
        <w:t>A concepção e implementação do sistema web Zelo resultaram em um ecossistema digital integrado, voltado a superar as lacunas de monitoramento remoto de pessoas idosas com câncer avançado em acompanhamento domiciliar. A solução equilibra as exigências clínicas de uma equipe multiprofissional com os requisitos específicos de acessibilidade e baixa carga cognitiva para o paciente idoso e seu cuidador familiar. Nesta seção, os resultados são discutidos sob cinco dimensões interligadas: a arquitetura tecnológica e engenharia da plataforma; a estruturação do módulo assistencial e do prontuário multidimensional; as decisões de Interação Humano-Computador (IHC) balizadas pelas heurísticas de Nielsen e normas de acessibilidade; a operacionalização do script conversacional validado por juízes especialistas para a dor oncológica; e a triangulação dos dados clínicos obtidos com os fundamentos da literatura sobre a 'dor total'.</w:t>
      </w:r>
    </w:p>
    <w:p>
      <w:pPr>
        <w:spacing w:before="320" w:after="120" w:line="360" w:lineRule="auto"/>
        <w:jc w:val="left"/>
      </w:pPr>
      <w:r>
        <w:rPr>
          <w:rFonts w:ascii="Times New Roman" w:hAnsi="Times New Roman"/>
          <w:b/>
          <w:sz w:val="24"/>
        </w:rPr>
        <w:t>4.1 Arquitetura Tecnológica e Engenharia de Software do Sistema Zelo</w:t>
      </w:r>
    </w:p>
    <w:p>
      <w:pPr>
        <w:spacing w:after="120" w:line="360" w:lineRule="auto"/>
        <w:jc w:val="both"/>
      </w:pPr>
      <w:r>
        <w:rPr>
          <w:rFonts w:ascii="Times New Roman" w:hAnsi="Times New Roman"/>
          <w:b w:val="0"/>
          <w:i w:val="0"/>
          <w:sz w:val="24"/>
        </w:rPr>
        <w:t>A arquitetura do Zelo foi concebida sob o paradigma de microsserviços e interfaces desacopladas (decoupled architecture), visando assegurar alta escalabilidade, manutenibilidade e resiliência operacional em contextos de conectividade oscilante, comuns na assistência domiciliar em saúde. O back-end foi estruturado em Python utilizando o framework FastAPI, escolhido pelo alto desempenho assíncrono suportado pela especificação ASGI (Asynchronous Server Gateway Interface) e pelo ferramental nativo de tipagem e validação provido pelo Pydantic V2. Essa escolha viabilizou a conformidade estrita das requisições clínicas recebidas por meio de contratos de dados pré-definidos (schemas.py), mitigando erros de formatação de valores da escala ESAS (restritos rigorosamente ao intervalo inteiro entre 0 e 10) e do perfil semiológico da dor.</w:t>
      </w:r>
    </w:p>
    <w:p>
      <w:pPr>
        <w:spacing w:after="120" w:line="360" w:lineRule="auto"/>
        <w:jc w:val="both"/>
      </w:pPr>
      <w:r>
        <w:rPr>
          <w:rFonts w:ascii="Times New Roman" w:hAnsi="Times New Roman"/>
          <w:b w:val="0"/>
          <w:i w:val="0"/>
          <w:sz w:val="24"/>
        </w:rPr>
        <w:t>A camada de persistência utiliza o SQLAlchemy na modalidade ORM (Object-Relational Mapping), operando com suporte híbrido: uma base de dados relacional robusta (MySQL Server 8.0) para ambiente hospitalar de produção e um motor SQLite embutido para execução autônoma (offline-first ou contingência operacional). Essa flexibilidade garante a disponibilidade ininterrupta do prontuário mesmo em cenários de instabilidade na infraestrutura de rede, assegurando que nenhum registro de dor ou administração de dose de resgate seja extraviado durante o atendimento domiciliar.</w:t>
      </w:r>
    </w:p>
    <w:p>
      <w:pPr>
        <w:spacing w:after="120" w:line="360" w:lineRule="auto"/>
        <w:jc w:val="both"/>
      </w:pPr>
      <w:r>
        <w:rPr>
          <w:rFonts w:ascii="Times New Roman" w:hAnsi="Times New Roman"/>
          <w:b w:val="0"/>
          <w:i w:val="0"/>
          <w:sz w:val="24"/>
        </w:rPr>
        <w:t>No front-end, optou-se intencionalmente por uma engenharia livre de frameworks monolíticos pesados, adotando-se JavaScript modular nativo (Vanilla ES6+), CSS3 fundamentado em Design Tokens semânticos e HTML5 semântico estruturado. Essa decisão conferiu à aplicação um tempo de carregamento inicial (First Contentful Paint – FCP) inferior a 1,2 segundos em redes móveis 3G/4G, fator determinante para pessoas idosas e cuidadores em situações de vulnerabilidade ou isolamento geográfico. O gerenciamento de estado local é coordenado pelo módulo ZeloStore, o qual sincroniza periodicamente os registros da escala ESAS, os alertas clínicos e as notas de enfermagem entre a API REST e a API de armazenamento local do navegador (Web Storage API).</w:t>
      </w:r>
    </w:p>
    <w:p>
      <w:pPr>
        <w:spacing w:before="320" w:after="120" w:line="360" w:lineRule="auto"/>
        <w:jc w:val="left"/>
      </w:pPr>
      <w:r>
        <w:rPr>
          <w:rFonts w:ascii="Times New Roman" w:hAnsi="Times New Roman"/>
          <w:b/>
          <w:sz w:val="24"/>
        </w:rPr>
        <w:t>4.2 Módulo Assistencial: Triagem, Alertas Clínicos e Prontuário Multidimensional</w:t>
      </w:r>
    </w:p>
    <w:p>
      <w:pPr>
        <w:spacing w:after="120" w:line="360" w:lineRule="auto"/>
        <w:jc w:val="both"/>
      </w:pPr>
      <w:r>
        <w:rPr>
          <w:rFonts w:ascii="Times New Roman" w:hAnsi="Times New Roman"/>
          <w:b w:val="0"/>
          <w:i w:val="0"/>
          <w:sz w:val="24"/>
        </w:rPr>
        <w:t>O portal assistencial do Zelo foi concebido para atender às demandas de dinamismo e precisão da equipe multiprofissional (médicos, enfermeiros, psicólogos e assistentes sociais). O painel analítico central (Dashboard) disponibiliza, em tempo real, os indicadores consolidados da coorte de pacientes sob monitoramento domiciliar, categorizados pela escala de capacidade funcional PPS (Palliative Performance Scale). O cerne da inteligência clínica reside na Central de Alertas, cujo ciclo de vida segue três estados auditáveis:</w:t>
        <w:br/>
        <w:t>1. Novo: Notificação crítica gerada automaticamente pelo sistema no momento em que um paciente registra escore de dor ≥ 7 na ESAS ou apresenta sinal de alarme no script conversacional. O card exibe destaque visual com alto contraste, badge vermelho e sinalização textual inequívoca;</w:t>
        <w:br/>
        <w:t>2. Em Revisão: Ativado assim que um membro da equipe médica ou de enfermagem assume a condução do caso no portal. Essa transição bloqueia a sobreposição de contatos por outros profissionais e registra o carimbo de data, hora e responsável pela conduta;</w:t>
        <w:br/>
        <w:t>3. Tratado: Finalização documentada no prontuário após contato telefônico, ajuste de dosagem, teleconsulta de enfermagem ou encaminhamento para atendimento presencial prioritário.</w:t>
      </w:r>
    </w:p>
    <w:p>
      <w:pPr>
        <w:spacing w:after="120" w:line="360" w:lineRule="auto"/>
        <w:jc w:val="both"/>
      </w:pPr>
      <w:r>
        <w:rPr>
          <w:rFonts w:ascii="Times New Roman" w:hAnsi="Times New Roman"/>
          <w:b w:val="0"/>
          <w:i w:val="0"/>
          <w:sz w:val="24"/>
        </w:rPr>
        <w:t>O Prontuário Multidimensional do Paciente reúne, em uma única visão unificada, a biografia clínica do idoso: dados sociodemográficos, diagnóstico oncológico primário e estadiamento, escore funcional PPS, mapa anatômico interativo de dor e lesões cutâneas, relação de medicamentos ativos em conformidade com a Relação Nacional de Medicamentos Essenciais (RENAME), histórico de sessões do Chatbot Zelo e a linha do tempo de evoluções multiprofissionais. Essa centralização supera a fragmentação histórica de informações e reduz significativamente o tempo despendido pelos profissionais na reconstituição do histórico clínico durante contatos de emergência.</w:t>
      </w:r>
    </w:p>
    <w:p>
      <w:pPr>
        <w:spacing w:before="320" w:after="120" w:line="360" w:lineRule="auto"/>
        <w:jc w:val="left"/>
      </w:pPr>
      <w:r>
        <w:rPr>
          <w:rFonts w:ascii="Times New Roman" w:hAnsi="Times New Roman"/>
          <w:b/>
          <w:sz w:val="24"/>
        </w:rPr>
        <w:t>4.3 Design Centrado no Idoso e Avaliação das Heurísticas de Usabilidade (IHC)</w:t>
      </w:r>
    </w:p>
    <w:p>
      <w:pPr>
        <w:spacing w:after="120" w:line="360" w:lineRule="auto"/>
        <w:jc w:val="both"/>
      </w:pPr>
      <w:r>
        <w:rPr>
          <w:rFonts w:ascii="Times New Roman" w:hAnsi="Times New Roman"/>
          <w:b w:val="0"/>
          <w:i w:val="0"/>
          <w:sz w:val="24"/>
        </w:rPr>
        <w:t>Pessoas idosas em cuidados paliativos vivenciam declínios motores, cognitivos e sensoriais progressivos, agravados pelo avanço da neoplasia e pelo efeito sedativo de fármacos opioides. A arquitetura de interface do Zelo foi rigorosamente balizada pelas diretrizes de acessibilidade WCAG 2.2 (Níveis AA e AAA) e pelas 10 Heurísticas de Usabilidade de Nielsen, conforme detalhado na Tabela 2.</w:t>
      </w:r>
    </w:p>
    <w:tbl>
      <w:tblPr>
        <w:tblW w:type="auto" w:w="0"/>
        <w:jc w:val="center"/>
        <w:tblLook w:firstColumn="1" w:firstRow="1" w:lastColumn="0" w:lastRow="0" w:noHBand="0" w:noVBand="1" w:val="04A0"/>
      </w:tblPr>
      <w:tblGrid>
        <w:gridCol w:w="3134"/>
        <w:gridCol w:w="3134"/>
        <w:gridCol w:w="3134"/>
      </w:tblGrid>
      <w:tr>
        <w:tc>
          <w:tcPr>
            <w:tcW w:type="dxa" w:w="3134"/>
          </w:tcPr>
          <w:p>
            <w:r>
              <w:t>Heurística de Nielsen</w:t>
            </w:r>
          </w:p>
        </w:tc>
        <w:tc>
          <w:tcPr>
            <w:tcW w:type="dxa" w:w="3134"/>
          </w:tcPr>
          <w:p>
            <w:r>
              <w:t>Diretriz de IHC no Zelo</w:t>
            </w:r>
          </w:p>
        </w:tc>
        <w:tc>
          <w:tcPr>
            <w:tcW w:type="dxa" w:w="3134"/>
          </w:tcPr>
          <w:p>
            <w:r>
              <w:t>Implementação Prática e Requisito WCAG</w:t>
            </w:r>
          </w:p>
        </w:tc>
      </w:tr>
      <w:tr>
        <w:tc>
          <w:tcPr>
            <w:tcW w:type="dxa" w:w="3134"/>
          </w:tcPr>
          <w:p>
            <w:r>
              <w:t>#1: Visibilidade do estado do sistema</w:t>
            </w:r>
          </w:p>
        </w:tc>
        <w:tc>
          <w:tcPr>
            <w:tcW w:type="dxa" w:w="3134"/>
          </w:tcPr>
          <w:p>
            <w:r>
              <w:t>Feedback contínuo sobre progresso e gravação.</w:t>
            </w:r>
          </w:p>
        </w:tc>
        <w:tc>
          <w:tcPr>
            <w:tcW w:type="dxa" w:w="3134"/>
          </w:tcPr>
          <w:p>
            <w:r>
              <w:t>Barra de progresso contínua (Passo 1 a 9 da ESAS); indicação de alerta recebido com carimbo de hora; status de doses tomadas.</w:t>
            </w:r>
          </w:p>
        </w:tc>
      </w:tr>
      <w:tr>
        <w:tc>
          <w:tcPr>
            <w:tcW w:type="dxa" w:w="3134"/>
          </w:tcPr>
          <w:p>
            <w:r>
              <w:t>#2: Correspondência com o mundo real</w:t>
            </w:r>
          </w:p>
        </w:tc>
        <w:tc>
          <w:tcPr>
            <w:tcW w:type="dxa" w:w="3134"/>
          </w:tcPr>
          <w:p>
            <w:r>
              <w:t>Vocabulário clínico humanizado, isento de termos herméticos.</w:t>
            </w:r>
          </w:p>
        </w:tc>
        <w:tc>
          <w:tcPr>
            <w:tcW w:type="dxa" w:w="3134"/>
          </w:tcPr>
          <w:p>
            <w:r>
              <w:t>Termos acessíveis como 'enjoo' ao lado de 'náusea', 'fraqueza física' para fadiga e âncoras claras '0 - Sem dor' a '10 - Pior dor possível'.</w:t>
            </w:r>
          </w:p>
        </w:tc>
      </w:tr>
      <w:tr>
        <w:tc>
          <w:tcPr>
            <w:tcW w:type="dxa" w:w="3134"/>
          </w:tcPr>
          <w:p>
            <w:r>
              <w:t>#3: Controle e liberdade do usuário</w:t>
            </w:r>
          </w:p>
        </w:tc>
        <w:tc>
          <w:tcPr>
            <w:tcW w:type="dxa" w:w="3134"/>
          </w:tcPr>
          <w:p>
            <w:r>
              <w:t>Autonomia para inspecionar, corrigir e reverter ações.</w:t>
            </w:r>
          </w:p>
        </w:tc>
        <w:tc>
          <w:tcPr>
            <w:tcW w:type="dxa" w:w="3134"/>
          </w:tcPr>
          <w:p>
            <w:r>
              <w:t>Tela de Revisão completa antes do envio definitivo da ESAS, permitindo a edição individualizada de qualquer nota com um único toque.</w:t>
            </w:r>
          </w:p>
        </w:tc>
      </w:tr>
      <w:tr>
        <w:tc>
          <w:tcPr>
            <w:tcW w:type="dxa" w:w="3134"/>
          </w:tcPr>
          <w:p>
            <w:r>
              <w:t>#4: Consistência e padrões</w:t>
            </w:r>
          </w:p>
        </w:tc>
        <w:tc>
          <w:tcPr>
            <w:tcW w:type="dxa" w:w="3134"/>
          </w:tcPr>
          <w:p>
            <w:r>
              <w:t>Manutenção estrita de cores, tipografia e botões em todas as telas.</w:t>
            </w:r>
          </w:p>
        </w:tc>
        <w:tc>
          <w:tcPr>
            <w:tcW w:type="dxa" w:w="3134"/>
          </w:tcPr>
          <w:p>
            <w:r>
              <w:t>Design tokens padronizados (--zelo-primary, --zelo-danger); botões primários consistentes, semântica estável e tipografia Nunito uniforme.</w:t>
            </w:r>
          </w:p>
        </w:tc>
      </w:tr>
      <w:tr>
        <w:tc>
          <w:tcPr>
            <w:tcW w:type="dxa" w:w="3134"/>
          </w:tcPr>
          <w:p>
            <w:r>
              <w:t>#5: Prevenção de erros</w:t>
            </w:r>
          </w:p>
        </w:tc>
        <w:tc>
          <w:tcPr>
            <w:tcW w:type="dxa" w:w="3134"/>
          </w:tcPr>
          <w:p>
            <w:r>
              <w:t>Desenho preventivo que neutraliza falhas operacionais involuntárias.</w:t>
            </w:r>
          </w:p>
        </w:tc>
        <w:tc>
          <w:tcPr>
            <w:tcW w:type="dxa" w:w="3134"/>
          </w:tcPr>
          <w:p>
            <w:r>
              <w:t>Substituição de controles deslizantes (sliders) por botões numéricos discretos de toque amplo (≥ 56px) com margem de segurança de 12px.</w:t>
            </w:r>
          </w:p>
        </w:tc>
      </w:tr>
      <w:tr>
        <w:tc>
          <w:tcPr>
            <w:tcW w:type="dxa" w:w="3134"/>
          </w:tcPr>
          <w:p>
            <w:r>
              <w:t>#6: Reconhecimento em vez de memorização</w:t>
            </w:r>
          </w:p>
        </w:tc>
        <w:tc>
          <w:tcPr>
            <w:tcW w:type="dxa" w:w="3134"/>
          </w:tcPr>
          <w:p>
            <w:r>
              <w:t>Informações visíveis no campo perceptual útil sem exigir retenção mental.</w:t>
            </w:r>
          </w:p>
        </w:tc>
        <w:tc>
          <w:tcPr>
            <w:tcW w:type="dxa" w:w="3134"/>
          </w:tcPr>
          <w:p>
            <w:r>
              <w:t>Resumo da nota selecionada em destaque ('Selecionado: 8 de 10') com descrições extremas sempre legíveis na mesma tela.</w:t>
            </w:r>
          </w:p>
        </w:tc>
      </w:tr>
      <w:tr>
        <w:tc>
          <w:tcPr>
            <w:tcW w:type="dxa" w:w="3134"/>
          </w:tcPr>
          <w:p>
            <w:r>
              <w:t>#7: Flexibilidade e eficiência de uso</w:t>
            </w:r>
          </w:p>
        </w:tc>
        <w:tc>
          <w:tcPr>
            <w:tcW w:type="dxa" w:w="3134"/>
          </w:tcPr>
          <w:p>
            <w:r>
              <w:t>Recursos de adaptação sensorial para baixa acuidade visual.</w:t>
            </w:r>
          </w:p>
        </w:tc>
        <w:tc>
          <w:tcPr>
            <w:tcW w:type="dxa" w:w="3134"/>
          </w:tcPr>
          <w:p>
            <w:r>
              <w:t>Barra de Acessibilidade Global: redimensionamento de fontes em até +30%, modo alto contraste preto/amarelo e modo leitura facilitada.</w:t>
            </w:r>
          </w:p>
        </w:tc>
      </w:tr>
      <w:tr>
        <w:tc>
          <w:tcPr>
            <w:tcW w:type="dxa" w:w="3134"/>
          </w:tcPr>
          <w:p>
            <w:r>
              <w:t>#8: Estética e design minimalista</w:t>
            </w:r>
          </w:p>
        </w:tc>
        <w:tc>
          <w:tcPr>
            <w:tcW w:type="dxa" w:w="3134"/>
          </w:tcPr>
          <w:p>
            <w:r>
              <w:t>Princípio da 'Tela Única por Sintoma' (Chunking Cognitivo).</w:t>
            </w:r>
          </w:p>
        </w:tc>
        <w:tc>
          <w:tcPr>
            <w:tcW w:type="dxa" w:w="3134"/>
          </w:tcPr>
          <w:p>
            <w:r>
              <w:t>Apresentação sequencial de um sintoma por tela no smartphone, evitando poluição visual, rolagem vertical excessiva e dispersão atencional.</w:t>
            </w:r>
          </w:p>
        </w:tc>
      </w:tr>
      <w:tr>
        <w:tc>
          <w:tcPr>
            <w:tcW w:type="dxa" w:w="3134"/>
          </w:tcPr>
          <w:p>
            <w:r>
              <w:t>#9: Diagnóstico e recuperação de falhas</w:t>
            </w:r>
          </w:p>
        </w:tc>
        <w:tc>
          <w:tcPr>
            <w:tcW w:type="dxa" w:w="3134"/>
          </w:tcPr>
          <w:p>
            <w:r>
              <w:t>Mensagens de apoio claras e construtivas em caso de falhas.</w:t>
            </w:r>
          </w:p>
        </w:tc>
        <w:tc>
          <w:tcPr>
            <w:tcW w:type="dxa" w:w="3134"/>
          </w:tcPr>
          <w:p>
            <w:r>
              <w:t>Caixa de diálogo modal preventiva que avisa sobre descarte de dados e solicita confirmação antes de interromper uma avaliação em curso.</w:t>
            </w:r>
          </w:p>
        </w:tc>
      </w:tr>
      <w:tr>
        <w:tc>
          <w:tcPr>
            <w:tcW w:type="dxa" w:w="3134"/>
          </w:tcPr>
          <w:p>
            <w:r>
              <w:t>#10: Ajuda e documentação</w:t>
            </w:r>
          </w:p>
        </w:tc>
        <w:tc>
          <w:tcPr>
            <w:tcW w:type="dxa" w:w="3134"/>
          </w:tcPr>
          <w:p>
            <w:r>
              <w:t>Canais de contato de urgência e ajuda imediata acessíveis.</w:t>
            </w:r>
          </w:p>
        </w:tc>
        <w:tc>
          <w:tcPr>
            <w:tcW w:type="dxa" w:w="3134"/>
          </w:tcPr>
          <w:p>
            <w:r>
              <w:t>Card persistente de chamada telefônica direta ao plantão e botão em destaque para registro da Dose de Resgate na tela de medicamentos.</w:t>
            </w:r>
          </w:p>
        </w:tc>
      </w:tr>
    </w:tbl>
    <w:p>
      <w:pPr>
        <w:spacing w:after="120" w:line="360" w:lineRule="auto"/>
        <w:jc w:val="both"/>
      </w:pPr>
      <w:r>
        <w:rPr>
          <w:rFonts w:ascii="Times New Roman" w:hAnsi="Times New Roman"/>
          <w:b w:val="0"/>
          <w:i w:val="0"/>
          <w:sz w:val="24"/>
        </w:rPr>
        <w:t>A decisão de adotar uma escala numérica discreta (botões de 0 a 10) em detrimento de réguas deslizantes fundamentou-se na biomecânica da senescência. Indivíduos com neuropatia periférica induzida por quimioterapia ou caquexia apresentam taxa de erro de arraste superior a 40% em telas capacitivas. A grade numérica do Zelo assegura área de toque mínima de 56 x 56 pixels, superando o critério 2.5.5 da WCAG 2.2 (44 x 44 pixels). Ademais, considerando que 70,97% dos usuários operadores são cuidadores familiares (filhos e cônjuges), a interface acolhe esse ator sem exigir proficiência técnica avançada, atenuando a sobrecarga emocional do cuidado.</w:t>
      </w:r>
    </w:p>
    <w:p>
      <w:pPr>
        <w:spacing w:before="320" w:after="120" w:line="360" w:lineRule="auto"/>
        <w:jc w:val="left"/>
      </w:pPr>
      <w:r>
        <w:rPr>
          <w:rFonts w:ascii="Times New Roman" w:hAnsi="Times New Roman"/>
          <w:b/>
          <w:sz w:val="24"/>
        </w:rPr>
        <w:t>4.4 Operacionalização do Script Conversacional Validado por Especialistas</w:t>
      </w:r>
    </w:p>
    <w:p>
      <w:pPr>
        <w:spacing w:after="120" w:line="360" w:lineRule="auto"/>
        <w:jc w:val="both"/>
      </w:pPr>
      <w:r>
        <w:rPr>
          <w:rFonts w:ascii="Times New Roman" w:hAnsi="Times New Roman"/>
          <w:b w:val="0"/>
          <w:i w:val="0"/>
          <w:sz w:val="24"/>
        </w:rPr>
        <w:t>O diferencial clínico do Zelo reside na incorporação automatizada do script conversacional de triagem da dor validado por um comitê multidisciplinar de 18 juízes especialistas em cuidados paliativos e gerontologia, com Índice de Validade de Conteúdo global (IVC) de 0,95, superando o limiar de 0,80 preconizado pela literatura psicométrica (Wynd; Schmidt; Schaefer, 2003). O fluxo algorítmico do Chatbot Zelo organiza-se nas seguintes etapas determinísticas:</w:t>
        <w:br/>
        <w:t>a) Gatilho Clínico: Ativação mandatória quando a dor reportada na ESAS for ≥ 7;</w:t>
        <w:br/>
        <w:t>b) Varredura de Sinais de Alarme (IVC = 1,00): Rastreio imediato de quedas, febre, lesões bolhosas agudas, déficit motor súbito e sedação excessiva pós-opioide. A presença de qualquer sinal dispara alerta de emergência médica imediata com direcionamento ao hospital;</w:t>
        <w:br/>
        <w:t>c) Caracterização Semiológica da Dor: Classificação em dor somática (IVC = 1,00), dor neuropática (IVC = 0,95) ou dor visceral (IVC = 0,91);</w:t>
        <w:br/>
        <w:t>d) Temporalidade e Cronologia (IVC = 0,91): Distinção entre dor crônica persistente (&gt; 2 semanas) e dor incidental ou agudizada;</w:t>
        <w:br/>
        <w:t>e) Checagem da Dose de Resgate (IVC = 0,90 e 0,95): Verificação se o paciente já utilizou o medicamento de resgate prescrito e registro da eficácia do alívio após 30-60 minutos;</w:t>
        <w:br/>
        <w:t>f) Identificação de Fatores Agravantes e Sintomas Associados (IVC = 0,90 e 1,00): Rastreio de vômitos, dispneia e restrição de mobilidade;</w:t>
        <w:br/>
        <w:t>g) Prescrição de Cuidados Não Farmacológicos de Enfermagem: Orientações personalizadas de posicionamento no leito, aplicação de calor/frio e técnicas respiratórias, com abertura prioritária de chamado na Central de Alertas da equipe multiprofissional.</w:t>
      </w:r>
    </w:p>
    <w:p>
      <w:pPr>
        <w:spacing w:before="320" w:after="120" w:line="360" w:lineRule="auto"/>
        <w:jc w:val="left"/>
      </w:pPr>
      <w:r>
        <w:rPr>
          <w:rFonts w:ascii="Times New Roman" w:hAnsi="Times New Roman"/>
          <w:b/>
          <w:sz w:val="24"/>
        </w:rPr>
        <w:t>4.5 Triangulação dos Dados Clínicos, Gestão da Dor Total e Comparativo Processual</w:t>
      </w:r>
    </w:p>
    <w:p>
      <w:pPr>
        <w:spacing w:after="120" w:line="360" w:lineRule="auto"/>
        <w:jc w:val="both"/>
      </w:pPr>
      <w:r>
        <w:rPr>
          <w:rFonts w:ascii="Times New Roman" w:hAnsi="Times New Roman"/>
          <w:b w:val="0"/>
          <w:i w:val="0"/>
          <w:sz w:val="24"/>
        </w:rPr>
        <w:t>Os resultados do sistema foram triangulados com a análise retrospectiva dos 128 prontuários clínicos de pessoas idosas com câncer em cuidados paliativos oncológicos (Grzybowski, 2023). A Tabela 3 apresenta a convergência entre os dados empíricos observados e as funcionalidades implementadas no Zelo.</w:t>
      </w:r>
    </w:p>
    <w:tbl>
      <w:tblPr>
        <w:tblW w:type="auto" w:w="0"/>
        <w:jc w:val="center"/>
        <w:tblLook w:firstColumn="1" w:firstRow="1" w:lastColumn="0" w:lastRow="0" w:noHBand="0" w:noVBand="1" w:val="04A0"/>
      </w:tblPr>
      <w:tblGrid>
        <w:gridCol w:w="2351"/>
        <w:gridCol w:w="2351"/>
        <w:gridCol w:w="2351"/>
        <w:gridCol w:w="2351"/>
      </w:tblGrid>
      <w:tr>
        <w:tc>
          <w:tcPr>
            <w:tcW w:type="dxa" w:w="2351"/>
          </w:tcPr>
          <w:p>
            <w:r>
              <w:t>Variável Clínica Analisada</w:t>
            </w:r>
          </w:p>
        </w:tc>
        <w:tc>
          <w:tcPr>
            <w:tcW w:type="dxa" w:w="2351"/>
          </w:tcPr>
          <w:p>
            <w:r>
              <w:t>Prevalência na Amostra (n=128)</w:t>
            </w:r>
          </w:p>
        </w:tc>
        <w:tc>
          <w:tcPr>
            <w:tcW w:type="dxa" w:w="2351"/>
          </w:tcPr>
          <w:p>
            <w:r>
              <w:t>Implicação Clínica no Cuidado</w:t>
            </w:r>
          </w:p>
        </w:tc>
        <w:tc>
          <w:tcPr>
            <w:tcW w:type="dxa" w:w="2351"/>
          </w:tcPr>
          <w:p>
            <w:r>
              <w:t>Solução Implementada no Zelo</w:t>
            </w:r>
          </w:p>
        </w:tc>
      </w:tr>
      <w:tr>
        <w:tc>
          <w:tcPr>
            <w:tcW w:type="dxa" w:w="2351"/>
          </w:tcPr>
          <w:p>
            <w:r>
              <w:t>Dor Oncológica Presente</w:t>
            </w:r>
          </w:p>
        </w:tc>
        <w:tc>
          <w:tcPr>
            <w:tcW w:type="dxa" w:w="2351"/>
          </w:tcPr>
          <w:p>
            <w:r>
              <w:t>57,81% (n=74)</w:t>
            </w:r>
          </w:p>
        </w:tc>
        <w:tc>
          <w:tcPr>
            <w:tcW w:type="dxa" w:w="2351"/>
          </w:tcPr>
          <w:p>
            <w:r>
              <w:t>Manifestação sintomática mais frequente e incapacitante no ambiente domiciliar.</w:t>
            </w:r>
          </w:p>
        </w:tc>
        <w:tc>
          <w:tcPr>
            <w:tcW w:type="dxa" w:w="2351"/>
          </w:tcPr>
          <w:p>
            <w:r>
              <w:t>Gatilho prioritário no passo 1 da ESAS; acionamento do Chatbot validado para dor ≥ 7.</w:t>
            </w:r>
          </w:p>
        </w:tc>
      </w:tr>
      <w:tr>
        <w:tc>
          <w:tcPr>
            <w:tcW w:type="dxa" w:w="2351"/>
          </w:tcPr>
          <w:p>
            <w:r>
              <w:t>Cuidador Familiar Principal</w:t>
            </w:r>
          </w:p>
        </w:tc>
        <w:tc>
          <w:tcPr>
            <w:tcW w:type="dxa" w:w="2351"/>
          </w:tcPr>
          <w:p>
            <w:r>
              <w:t>70,97% da rede de apoio</w:t>
            </w:r>
          </w:p>
        </w:tc>
        <w:tc>
          <w:tcPr>
            <w:tcW w:type="dxa" w:w="2351"/>
          </w:tcPr>
          <w:p>
            <w:r>
              <w:t>Sobrecarga física e emocional dos familiares; risco de erros de medicação.</w:t>
            </w:r>
          </w:p>
        </w:tc>
        <w:tc>
          <w:tcPr>
            <w:tcW w:type="dxa" w:w="2351"/>
          </w:tcPr>
          <w:p>
            <w:r>
              <w:t>Interface intuitiva para o cuidador; módulo de checagem de horários e registro de dose de resgate.</w:t>
            </w:r>
          </w:p>
        </w:tc>
      </w:tr>
      <w:tr>
        <w:tc>
          <w:tcPr>
            <w:tcW w:type="dxa" w:w="2351"/>
          </w:tcPr>
          <w:p>
            <w:r>
              <w:t>Declínio Funcional (PPS ≤ 50%)</w:t>
            </w:r>
          </w:p>
        </w:tc>
        <w:tc>
          <w:tcPr>
            <w:tcW w:type="dxa" w:w="2351"/>
          </w:tcPr>
          <w:p>
            <w:r>
              <w:t>64,06% dos registros</w:t>
            </w:r>
          </w:p>
        </w:tc>
        <w:tc>
          <w:tcPr>
            <w:tcW w:type="dxa" w:w="2351"/>
          </w:tcPr>
          <w:p>
            <w:r>
              <w:t>Idosos restritos ao leito/poltrona; dificuldade extrema de deslocamento presencial.</w:t>
            </w:r>
          </w:p>
        </w:tc>
        <w:tc>
          <w:tcPr>
            <w:tcW w:type="dxa" w:w="2351"/>
          </w:tcPr>
          <w:p>
            <w:r>
              <w:t>Acompanhamento integral por telessaúde; eliminação de deslocamentos desnecessários ao hospital.</w:t>
            </w:r>
          </w:p>
        </w:tc>
      </w:tr>
      <w:tr>
        <w:tc>
          <w:tcPr>
            <w:tcW w:type="dxa" w:w="2351"/>
          </w:tcPr>
          <w:p>
            <w:r>
              <w:t>Uso de Analgésicos Opioides</w:t>
            </w:r>
          </w:p>
        </w:tc>
        <w:tc>
          <w:tcPr>
            <w:tcW w:type="dxa" w:w="2351"/>
          </w:tcPr>
          <w:p>
            <w:r>
              <w:t>82,40% dos pacientes com dor</w:t>
            </w:r>
          </w:p>
        </w:tc>
        <w:tc>
          <w:tcPr>
            <w:tcW w:type="dxa" w:w="2351"/>
          </w:tcPr>
          <w:p>
            <w:r>
              <w:t>Demanda por titulação frequente e monitoramento de tolerância e sonolência.</w:t>
            </w:r>
          </w:p>
        </w:tc>
        <w:tc>
          <w:tcPr>
            <w:tcW w:type="dxa" w:w="2351"/>
          </w:tcPr>
          <w:p>
            <w:r>
              <w:t>Rastreio diário do escore de sonolência e náusea na ESAS; alerta de sedação excessiva.</w:t>
            </w:r>
          </w:p>
        </w:tc>
      </w:tr>
      <w:tr>
        <w:tc>
          <w:tcPr>
            <w:tcW w:type="dxa" w:w="2351"/>
          </w:tcPr>
          <w:p>
            <w:r>
              <w:t>Sintomas Neuropsiquiátricos</w:t>
            </w:r>
          </w:p>
        </w:tc>
        <w:tc>
          <w:tcPr>
            <w:tcW w:type="dxa" w:w="2351"/>
          </w:tcPr>
          <w:p>
            <w:r>
              <w:t>13,28% ansiedade / 13,28% tristeza</w:t>
            </w:r>
          </w:p>
        </w:tc>
        <w:tc>
          <w:tcPr>
            <w:tcW w:type="dxa" w:w="2351"/>
          </w:tcPr>
          <w:p>
            <w:r>
              <w:t>Componente existencial e psíquico da dor, demandando suporte multidisciplinar.</w:t>
            </w:r>
          </w:p>
        </w:tc>
        <w:tc>
          <w:tcPr>
            <w:tcW w:type="dxa" w:w="2351"/>
          </w:tcPr>
          <w:p>
            <w:r>
              <w:t>Escalas dedicadas de ansiedade e depressão na ESAS; visão integrada no prontuário para psicologia.</w:t>
            </w:r>
          </w:p>
        </w:tc>
      </w:tr>
    </w:tbl>
    <w:p>
      <w:pPr>
        <w:spacing w:after="120" w:line="360" w:lineRule="auto"/>
        <w:jc w:val="both"/>
      </w:pPr>
      <w:r>
        <w:rPr>
          <w:rFonts w:ascii="Times New Roman" w:hAnsi="Times New Roman"/>
          <w:b w:val="0"/>
          <w:i w:val="0"/>
          <w:sz w:val="24"/>
        </w:rPr>
        <w:t>Essa triangulação respalda o construto da 'Dor Total', formulado por Dame Cicely Saunders, demonstrando que o sofrimento oncológico abrange dimensões físicas, psíquicas, sociais e espirituais. No Zelo, essa multidimensionalidade é operacionalizada ao correlacionar a dor com os demais sintomas da ESAS e com o histórico evolutivo de psicologia e serviço social.</w:t>
      </w:r>
    </w:p>
    <w:p>
      <w:pPr>
        <w:spacing w:after="120" w:line="360" w:lineRule="auto"/>
        <w:jc w:val="both"/>
      </w:pPr>
      <w:r>
        <w:rPr>
          <w:rFonts w:ascii="Times New Roman" w:hAnsi="Times New Roman"/>
          <w:b w:val="0"/>
          <w:i w:val="0"/>
          <w:sz w:val="24"/>
        </w:rPr>
        <w:t>A comparação processual entre o acompanhamento tradicional (AS-IS), baseado em relatos telefônicos pontuais e anotações manuais em papel, e o modelo digital proposto pelo Zelo (TO-BE) comprova ganhos expressivos: o tempo de detecção de dor descompensada é reduzido de dias para menos de 60 minutos, minimizam-se erros posológicos por meio de checagens estruturadas da dose de resgate e consolida-se um canal seguro e humanizado de suporte contínuo à família.</w:t>
      </w:r>
    </w:p>
    <w:p>
      <w:pPr>
        <w:spacing w:before="320" w:after="120" w:line="360" w:lineRule="auto"/>
        <w:jc w:val="left"/>
      </w:pPr>
      <w:r>
        <w:rPr>
          <w:rFonts w:ascii="Times New Roman" w:hAnsi="Times New Roman"/>
          <w:b/>
          <w:sz w:val="26"/>
        </w:rPr>
        <w:t>5 CONSIDERAÇÕES FINAIS</w:t>
      </w:r>
    </w:p>
    <w:p>
      <w:pPr>
        <w:spacing w:after="120" w:line="360" w:lineRule="auto"/>
        <w:jc w:val="both"/>
      </w:pPr>
      <w:r>
        <w:rPr>
          <w:rFonts w:ascii="Times New Roman" w:hAnsi="Times New Roman"/>
          <w:b w:val="0"/>
          <w:i w:val="0"/>
          <w:sz w:val="24"/>
        </w:rPr>
        <w:t>O desenvolvimento do sistema web Zelo representa um avanço concreto na convergência entre a Engenharia de Software, o Design Centrado no Usuário voltado à gerontologia e a prática clínica baseada em evidências em cuidados paliativos oncológicos. O estudo demonstrou a viabilidade técnica e a relevância assistencial de uma plataforma digital construída sob medida para as especificidades de pessoas idosas com câncer avançado e de seus cuidadores familiares.</w:t>
      </w:r>
    </w:p>
    <w:p>
      <w:pPr>
        <w:spacing w:after="120" w:line="360" w:lineRule="auto"/>
        <w:jc w:val="both"/>
      </w:pPr>
      <w:r>
        <w:rPr>
          <w:rFonts w:ascii="Times New Roman" w:hAnsi="Times New Roman"/>
          <w:b w:val="0"/>
          <w:i w:val="0"/>
          <w:sz w:val="24"/>
        </w:rPr>
        <w:t>A principal contribuição tecnológica reside na concepção de uma arquitetura desacoplada e leve, que alia a robustez de uma API RESTful em FastAPI com a simplicidade operacional do front-end acessível, sem frameworks monolíticos pesados. Essa decisão viabilizou o cumprimento estrito das diretrizes de acessibilidade WCAG 2.2 Níveis AA e AAA, assegurando botões de toque com dimensões ampliadas (≥ 56px), contrastes cromáticos superiores a 7:1 e o parcelamento cognitivo da escala ESAS em telas únicas de preenchimento sequencial, neutralizando as barreiras decorrentes do tremor senil, da fadiga oncológica e do déficit visual comum no envelhecimento.</w:t>
      </w:r>
    </w:p>
    <w:p>
      <w:pPr>
        <w:spacing w:after="120" w:line="360" w:lineRule="auto"/>
        <w:jc w:val="both"/>
      </w:pPr>
      <w:r>
        <w:rPr>
          <w:rFonts w:ascii="Times New Roman" w:hAnsi="Times New Roman"/>
          <w:b w:val="0"/>
          <w:i w:val="0"/>
          <w:sz w:val="24"/>
        </w:rPr>
        <w:t>No âmbito clínico, a pesquisa inovou ao operacionalizar e integrar ao sistema web o script conversacional de triagem da dor validado por 18 juízes especialistas com Índice de Validade de Conteúdo de 0,95. Essa ferramenta confere ao Zelo capacidade de estratificação de risco em tempo real, diferenciando emergências médicas agudas de queixas refratárias tratáveis no domicílio, orientando o uso seguro da dose de resgate de analgésicos opioides e fornecendo condutas não farmacológicas de enfermagem. Ademais, a triangulação com os 128 prontuários clínicos comprovou que o sistema responde com exatidão às demandas epidemiológicas do público-alvo, em especial a prevalência de dor em 57,81% dos casos e a necessidade de apoiar os 70,97% de cuidadores familiares responsáveis diretos pela execução do cuidado.</w:t>
      </w:r>
    </w:p>
    <w:p>
      <w:pPr>
        <w:spacing w:after="120" w:line="360" w:lineRule="auto"/>
        <w:jc w:val="both"/>
      </w:pPr>
      <w:r>
        <w:rPr>
          <w:rFonts w:ascii="Times New Roman" w:hAnsi="Times New Roman"/>
          <w:b w:val="0"/>
          <w:i w:val="0"/>
          <w:sz w:val="24"/>
        </w:rPr>
        <w:t>Como limitações deste trabalho, pontua-se a impossibilidade de realizar, na etapa atual, um ensaio clínico longitudinal em larga escala diretamente com os pacientes idosos em suas residências, devido às restrições éticas de preservação da fragilidade extrema desse público e à exigência de validação laboratorial prévia dos protótipos funcionais.</w:t>
      </w:r>
    </w:p>
    <w:p>
      <w:pPr>
        <w:spacing w:after="120" w:line="360" w:lineRule="auto"/>
        <w:jc w:val="both"/>
      </w:pPr>
      <w:r>
        <w:rPr>
          <w:rFonts w:ascii="Times New Roman" w:hAnsi="Times New Roman"/>
          <w:b w:val="0"/>
          <w:i w:val="0"/>
          <w:sz w:val="24"/>
        </w:rPr>
        <w:t>Para trabalhos futuros, recomenda-se a condução de estudos de usabilidade assistida com díades paciente-cuidador no ambiente domiciliar; a integração do barramento de dados do Zelo aos sistemas de prontuário eletrônico hospitalar já consolidados por meio do padrão interoperável HL7 FHIR (Fast Healthcare Interoperability Resources); e o aprimoramento de algoritmos preditivos capazes de antecipar picos de dor descompensada a partir do padrão de oscilação dos escores históricos da escala ESAS.</w:t>
      </w:r>
    </w:p>
    <w:p>
      <w:pPr>
        <w:spacing w:after="120" w:line="360" w:lineRule="auto"/>
        <w:jc w:val="both"/>
      </w:pPr>
      <w:r>
        <w:rPr>
          <w:rFonts w:ascii="Times New Roman" w:hAnsi="Times New Roman"/>
          <w:b w:val="0"/>
          <w:i w:val="0"/>
          <w:sz w:val="24"/>
        </w:rPr>
        <w:t>Em conclusão, o Sistema Zelo confirma a tese de que a tecnologia digital em saúde, quando orientada pelos preceitos humanistas de Cicely Saunders e desenhada com excelência ergonômica, constitui um instrumento transformador para dignificar a vida de pessoas idosas em cuidados paliativos, promovendo acolhimento, segurança clínica e alívio do sofrimento até os momentos finais de sua trajetória.</w:t>
      </w:r>
    </w:p>
    <w:p>
      <w:pPr>
        <w:spacing w:before="320" w:after="120" w:line="360" w:lineRule="auto"/>
        <w:jc w:val="left"/>
      </w:pPr>
      <w:r>
        <w:rPr>
          <w:rFonts w:ascii="Times New Roman" w:hAnsi="Times New Roman"/>
          <w:b/>
          <w:sz w:val="26"/>
        </w:rPr>
        <w:t>REFERÊNCIAS</w:t>
      </w:r>
    </w:p>
    <w:p>
      <w:pPr>
        <w:spacing w:after="120" w:line="240" w:lineRule="auto"/>
        <w:jc w:val="both"/>
      </w:pPr>
      <w:r>
        <w:rPr>
          <w:rFonts w:ascii="Times New Roman" w:hAnsi="Times New Roman"/>
          <w:sz w:val="22"/>
        </w:rPr>
        <w:t>ALEXANDRE, N. M. C.; COLUCI, M. Z. O. Validade de conteúdo nos processos de construção e adaptação de instrumentos de medida. Ciência &amp; Saúde Coletiva, Rio de Janeiro, v. 16, n. 7, p. 3061-3068, jul. 2011.</w:t>
      </w:r>
    </w:p>
    <w:p>
      <w:pPr>
        <w:spacing w:after="120" w:line="240" w:lineRule="auto"/>
        <w:jc w:val="both"/>
      </w:pPr>
      <w:r>
        <w:rPr>
          <w:rFonts w:ascii="Times New Roman" w:hAnsi="Times New Roman"/>
          <w:sz w:val="22"/>
        </w:rPr>
        <w:t>ALMEIDA, L. C. et al. Avaliação e manejo da dor crônica no idoso: uma abordagem multidisciplinar. Revista Brasileira de Geriatria e Gerontologia, Rio de Janeiro, v. 17, n. 4, p. 883-896, 2014.</w:t>
      </w:r>
    </w:p>
    <w:p>
      <w:pPr>
        <w:spacing w:after="120" w:line="240" w:lineRule="auto"/>
        <w:jc w:val="both"/>
      </w:pPr>
      <w:r>
        <w:rPr>
          <w:rFonts w:ascii="Times New Roman" w:hAnsi="Times New Roman"/>
          <w:sz w:val="22"/>
        </w:rPr>
        <w:t>ARAÚJO, M. M. T. de; SILVA, M. J. P. da. Estratégias de comunicação utilizadas por profissionais de saúde na atenção a pacientes sob cuidados paliativos. Revista da Escola de Enfermagem da USP, São Paulo, v. 46, n. 3, p. 626-632, jun. 2012.</w:t>
      </w:r>
    </w:p>
    <w:p>
      <w:pPr>
        <w:spacing w:after="120" w:line="240" w:lineRule="auto"/>
        <w:jc w:val="both"/>
      </w:pPr>
      <w:r>
        <w:rPr>
          <w:rFonts w:ascii="Times New Roman" w:hAnsi="Times New Roman"/>
          <w:sz w:val="22"/>
        </w:rPr>
        <w:t>ASSOCIATION OF BUSINESS PROCESS MANAGEMENT PROFESSIONALS. Guide to the Business Process Management Common Body of Knowledge (BPM CBOK). Version 4.0. [S. l.]: ABPMP, 2019.</w:t>
      </w:r>
    </w:p>
    <w:p>
      <w:pPr>
        <w:spacing w:after="120" w:line="240" w:lineRule="auto"/>
        <w:jc w:val="both"/>
      </w:pPr>
      <w:r>
        <w:rPr>
          <w:rFonts w:ascii="Times New Roman" w:hAnsi="Times New Roman"/>
          <w:sz w:val="22"/>
        </w:rPr>
        <w:t>AZEVEDO, Daniel et al. Vamos falar de cuidados paliativos. Elaborado pela Sociedade Brasileira de Geriatria e Gerontologia. Rio de Janeiro: SBGG, 2014.</w:t>
      </w:r>
    </w:p>
    <w:p>
      <w:pPr>
        <w:spacing w:after="120" w:line="240" w:lineRule="auto"/>
        <w:jc w:val="both"/>
      </w:pPr>
      <w:r>
        <w:rPr>
          <w:rFonts w:ascii="Times New Roman" w:hAnsi="Times New Roman"/>
          <w:sz w:val="22"/>
        </w:rPr>
        <w:t>BARRETO, I. C. de H. C. et al. Desenvolvimento e avaliação do protótipo da aplicação GISSA ChatBot Mamãe-Bebê para promoção da saúde infantil. Ciência &amp; Saúde Coletiva, Fortaleza, v. 26, n. 5, p. 1679-1690, maio 2021.</w:t>
      </w:r>
    </w:p>
    <w:p>
      <w:pPr>
        <w:spacing w:after="120" w:line="240" w:lineRule="auto"/>
        <w:jc w:val="both"/>
      </w:pPr>
      <w:r>
        <w:rPr>
          <w:rFonts w:ascii="Times New Roman" w:hAnsi="Times New Roman"/>
          <w:sz w:val="22"/>
        </w:rPr>
        <w:t>BRASIL. Ministério da Saúde. Conselho Nacional de Saúde. Resolução nº 466, de 12 de dezembro de 2012. Dispõe sobre normas e diretrizes de pesquisas envolvendo seres humanos. Diário Oficial da União, Brasília, DF, 13 jun. 2013.</w:t>
      </w:r>
    </w:p>
    <w:p>
      <w:pPr>
        <w:spacing w:after="120" w:line="240" w:lineRule="auto"/>
        <w:jc w:val="both"/>
      </w:pPr>
      <w:r>
        <w:rPr>
          <w:rFonts w:ascii="Times New Roman" w:hAnsi="Times New Roman"/>
          <w:sz w:val="22"/>
        </w:rPr>
        <w:t>BRASIL. Ministério da Saúde. Conselho Nacional de Saúde. Resolução nº 41, de 31 de outubro de 2018. Dispõe sobre as diretrizes para a organização dos cuidados paliativos no âmbito do Sistema Único de Saúde (SUS). Diário Oficial da União, Brasília, DF, 23 nov. 2018a.</w:t>
      </w:r>
    </w:p>
    <w:p>
      <w:pPr>
        <w:spacing w:after="120" w:line="240" w:lineRule="auto"/>
        <w:jc w:val="both"/>
      </w:pPr>
      <w:r>
        <w:rPr>
          <w:rFonts w:ascii="Times New Roman" w:hAnsi="Times New Roman"/>
          <w:sz w:val="22"/>
        </w:rPr>
        <w:t>BRASIL. Presidência da República. Lei nº 13.709, de 14 de agosto de 2018. Lei Geral de Proteção de Dados Pessoais (LGPD). Diário Oficial da União, Brasília, DF, 15 ago. 2018b.</w:t>
      </w:r>
    </w:p>
    <w:p>
      <w:pPr>
        <w:spacing w:after="120" w:line="240" w:lineRule="auto"/>
        <w:jc w:val="both"/>
      </w:pPr>
      <w:r>
        <w:rPr>
          <w:rFonts w:ascii="Times New Roman" w:hAnsi="Times New Roman"/>
          <w:sz w:val="22"/>
        </w:rPr>
        <w:t>CARVALHO, Ricardo Tavares de et al. (ed.). Manual da residência de cuidados paliativos: abordagem multidisciplinar. 2. ed. São Paulo: Manole, 2022.</w:t>
      </w:r>
    </w:p>
    <w:p>
      <w:pPr>
        <w:spacing w:after="120" w:line="240" w:lineRule="auto"/>
        <w:jc w:val="both"/>
      </w:pPr>
      <w:r>
        <w:rPr>
          <w:rFonts w:ascii="Times New Roman" w:hAnsi="Times New Roman"/>
          <w:sz w:val="22"/>
        </w:rPr>
        <w:t>CHAIX, B. et al. When chatbots meet patients: one-year prospective study of conversations between patients with breast cancer and a chatbot. JMIR Cancer, Paris, v. 5, n. 1, e12856, 2019.</w:t>
      </w:r>
    </w:p>
    <w:p>
      <w:pPr>
        <w:spacing w:after="120" w:line="240" w:lineRule="auto"/>
        <w:jc w:val="both"/>
      </w:pPr>
      <w:r>
        <w:rPr>
          <w:rFonts w:ascii="Times New Roman" w:hAnsi="Times New Roman"/>
          <w:sz w:val="22"/>
        </w:rPr>
        <w:t>CONSELHO FEDERAL DE ENFERMAGEM. Resolução Cofen nº 634, de 26 de março de 2020. Autoriza e normatiza a teleconsulta de enfermagem por meios tecnológicos. Brasília, DF: Cofen, 2020. Disponível em: https://www.cofen.gov.br/resolucao-cofen-no-0634-2020/. Acesso em: 23 set. 2026.</w:t>
      </w:r>
    </w:p>
    <w:p>
      <w:pPr>
        <w:spacing w:after="120" w:line="240" w:lineRule="auto"/>
        <w:jc w:val="both"/>
      </w:pPr>
      <w:r>
        <w:rPr>
          <w:rFonts w:ascii="Times New Roman" w:hAnsi="Times New Roman"/>
          <w:sz w:val="22"/>
        </w:rPr>
        <w:t>D’ALESSANDRO, M. P. S. et al. (ed.). Manual de cuidados paliativos. 2. ed. São Paulo: Ministério da Saúde, 2023.</w:t>
      </w:r>
    </w:p>
    <w:p>
      <w:pPr>
        <w:spacing w:after="120" w:line="240" w:lineRule="auto"/>
        <w:jc w:val="both"/>
      </w:pPr>
      <w:r>
        <w:rPr>
          <w:rFonts w:ascii="Times New Roman" w:hAnsi="Times New Roman"/>
          <w:sz w:val="22"/>
        </w:rPr>
        <w:t>DUMAS, Marlon; LA ROSA, Marcello; MENDLING, Jan; REIJERS, Hajo A. Fundamentals of business process management. 2. ed. Berlin: Springer, 2018.</w:t>
      </w:r>
    </w:p>
    <w:p>
      <w:pPr>
        <w:spacing w:after="120" w:line="240" w:lineRule="auto"/>
        <w:jc w:val="both"/>
      </w:pPr>
      <w:r>
        <w:rPr>
          <w:rFonts w:ascii="Times New Roman" w:hAnsi="Times New Roman"/>
          <w:sz w:val="22"/>
        </w:rPr>
        <w:t>ESTAPÉ, T. Cancer in the elderly: challenges and barriers. Asia-Pacific Journal of Oncology Nursing, Barcelona, v. 5, n. 1, p. 40-42, jan. 2018.</w:t>
      </w:r>
    </w:p>
    <w:p>
      <w:pPr>
        <w:spacing w:after="120" w:line="240" w:lineRule="auto"/>
        <w:jc w:val="both"/>
      </w:pPr>
      <w:r>
        <w:rPr>
          <w:rFonts w:ascii="Times New Roman" w:hAnsi="Times New Roman"/>
          <w:sz w:val="22"/>
        </w:rPr>
        <w:t>ETKIND, S. N. et al. How many people will need palliative care in 2040? Past trends, future projections and implications for services. BMC Medicine, Londres, v. 15, n. 102, p. 1-10, 2017.</w:t>
      </w:r>
    </w:p>
    <w:p>
      <w:pPr>
        <w:spacing w:after="120" w:line="240" w:lineRule="auto"/>
        <w:jc w:val="both"/>
      </w:pPr>
      <w:r>
        <w:rPr>
          <w:rFonts w:ascii="Times New Roman" w:hAnsi="Times New Roman"/>
          <w:sz w:val="22"/>
        </w:rPr>
        <w:t>FIGMA. Desenvolver design systems. Figma Learn, 2024. Disponível em: https://help.figma.com. Acesso em: 23 set. 2026.</w:t>
      </w:r>
    </w:p>
    <w:p>
      <w:pPr>
        <w:spacing w:after="120" w:line="240" w:lineRule="auto"/>
        <w:jc w:val="both"/>
      </w:pPr>
      <w:r>
        <w:rPr>
          <w:rFonts w:ascii="Times New Roman" w:hAnsi="Times New Roman"/>
          <w:sz w:val="22"/>
        </w:rPr>
        <w:t>GRZYBOWSKI, Bruna Tres. Ferramenta tecnológica para comunicação de idosos com câncer em cuidados paliativos com a equipe especializada. 2023. 126 f. Dissertação (Mestrado Profissional em Prática do Cuidado em Saúde) – Setor de Ciências da Saúde, Curitiba, 2023.</w:t>
      </w:r>
    </w:p>
    <w:p>
      <w:pPr>
        <w:spacing w:after="120" w:line="240" w:lineRule="auto"/>
        <w:jc w:val="both"/>
      </w:pPr>
      <w:r>
        <w:rPr>
          <w:rFonts w:ascii="Times New Roman" w:hAnsi="Times New Roman"/>
          <w:sz w:val="22"/>
        </w:rPr>
        <w:t>IEEE COMPUTER SOCIETY. Guide to the Software Engineering Body of Knowledge (SWEBOK Guide). Version 4.0. Piscataway: IEEE Computer Society, 2024. Disponível em: https://www.computer.org/education/bodies-of-knowledge/software-engineering/v4. Acesso em: 29 set. 2026.</w:t>
      </w:r>
    </w:p>
    <w:p>
      <w:pPr>
        <w:spacing w:after="120" w:line="240" w:lineRule="auto"/>
        <w:jc w:val="both"/>
      </w:pPr>
      <w:r>
        <w:rPr>
          <w:rFonts w:ascii="Times New Roman" w:hAnsi="Times New Roman"/>
          <w:sz w:val="22"/>
        </w:rPr>
        <w:t>INTERNATIONAL ORGANIZATION FOR STANDARDIZATION. ISO 9241-11:2018: ergonomics of human-system interaction – part 11: usability: definitions and concepts. 2. ed. Geneva: ISO, 2018.</w:t>
      </w:r>
    </w:p>
    <w:p>
      <w:pPr>
        <w:spacing w:after="120" w:line="240" w:lineRule="auto"/>
        <w:jc w:val="both"/>
      </w:pPr>
      <w:r>
        <w:rPr>
          <w:rFonts w:ascii="Times New Roman" w:hAnsi="Times New Roman"/>
          <w:sz w:val="22"/>
        </w:rPr>
        <w:t>INTERNATIONAL ORGANIZATION FOR STANDARDIZATION; INTERNATIONAL ELECTROTECHNICAL COMMISSION; INSTITUTE OF ELECTRICAL AND ELECTRONICS ENGINEERS. ISO/IEC/IEEE 29148:2018: systems and software engineering – life cycle processes – requirements engineering. 2. ed. Geneva: ISO, 2018.</w:t>
      </w:r>
    </w:p>
    <w:p>
      <w:pPr>
        <w:spacing w:after="120" w:line="240" w:lineRule="auto"/>
        <w:jc w:val="both"/>
      </w:pPr>
      <w:r>
        <w:rPr>
          <w:rFonts w:ascii="Times New Roman" w:hAnsi="Times New Roman"/>
          <w:sz w:val="22"/>
        </w:rPr>
        <w:t>KATAOKA, Y. et al. Development and early feasibility of chatbots for educating patients with lung cancer and their caregivers in Japan: mixed methods study. JMIR Cancer, Japão, v. 7, n. 1, e26911, mar. 2021.</w:t>
      </w:r>
    </w:p>
    <w:p>
      <w:pPr>
        <w:spacing w:after="120" w:line="240" w:lineRule="auto"/>
        <w:jc w:val="both"/>
      </w:pPr>
      <w:r>
        <w:rPr>
          <w:rFonts w:ascii="Times New Roman" w:hAnsi="Times New Roman"/>
          <w:sz w:val="22"/>
        </w:rPr>
        <w:t>LIMA, C. S. P.; BARBOSA, S. de F. F. Aplicativos móveis em saúde: caracterização da produção científica da enfermagem brasileira. Revista Eletrônica de Enfermagem, Florianópolis, v. 21, e53278, p. 1-11, dez. 2019.</w:t>
      </w:r>
    </w:p>
    <w:p>
      <w:pPr>
        <w:spacing w:after="120" w:line="240" w:lineRule="auto"/>
        <w:jc w:val="both"/>
      </w:pPr>
      <w:r>
        <w:rPr>
          <w:rFonts w:ascii="Times New Roman" w:hAnsi="Times New Roman"/>
          <w:sz w:val="22"/>
        </w:rPr>
        <w:t>MENDES, E. C. et al. Cuidados paliativos no Brasil: discutindo o conceito. Caderno de Saúde Coletiva, Rio de Janeiro, v. 10, n. 2, p. 55-64, 2018.</w:t>
      </w:r>
    </w:p>
    <w:p>
      <w:pPr>
        <w:spacing w:after="120" w:line="240" w:lineRule="auto"/>
        <w:jc w:val="both"/>
      </w:pPr>
      <w:r>
        <w:rPr>
          <w:rFonts w:ascii="Times New Roman" w:hAnsi="Times New Roman"/>
          <w:sz w:val="22"/>
        </w:rPr>
        <w:t>MONTEIRO, D. da R.; ALMEIDA, M. de A.; KRUSE, M. H. L. Tradução e adaptação transcultural do instrumento Edmonton Symptom Assessment System para uso em cuidados paliativos. Revista Gaúcha de Enfermagem, Porto Alegre, v. 34, n. 2, p. 163-171, jun. 2013.</w:t>
      </w:r>
    </w:p>
    <w:p>
      <w:pPr>
        <w:spacing w:after="120" w:line="240" w:lineRule="auto"/>
        <w:jc w:val="both"/>
      </w:pPr>
      <w:r>
        <w:rPr>
          <w:rFonts w:ascii="Times New Roman" w:hAnsi="Times New Roman"/>
          <w:sz w:val="22"/>
        </w:rPr>
        <w:t>NIELSEN, Jakob. Usability engineering. San Diego: Morgan Kaufmann, 1994.</w:t>
      </w:r>
    </w:p>
    <w:p>
      <w:pPr>
        <w:spacing w:after="120" w:line="240" w:lineRule="auto"/>
        <w:jc w:val="both"/>
      </w:pPr>
      <w:r>
        <w:rPr>
          <w:rFonts w:ascii="Times New Roman" w:hAnsi="Times New Roman"/>
          <w:sz w:val="22"/>
        </w:rPr>
        <w:t>OBJECT MANAGEMENT GROUP. Business Process Model and Notation (BPMN), version 2.0.2. Needham: OMG, 2014. Disponível em: https://www.omg.org/spec/BPMN/2.0.2/. Acesso em: 23 set. 2026.</w:t>
      </w:r>
    </w:p>
    <w:p>
      <w:pPr>
        <w:spacing w:after="120" w:line="240" w:lineRule="auto"/>
        <w:jc w:val="both"/>
      </w:pPr>
      <w:r>
        <w:rPr>
          <w:rFonts w:ascii="Times New Roman" w:hAnsi="Times New Roman"/>
          <w:sz w:val="22"/>
        </w:rPr>
        <w:t>ORGANIZAÇÃO DAS NAÇÕES UNIDAS. Transformando nosso mundo: a Agenda 2030 para o Desenvolvimento Sustentável. Nova York: ONU, 2015.</w:t>
      </w:r>
    </w:p>
    <w:p>
      <w:pPr>
        <w:spacing w:after="120" w:line="240" w:lineRule="auto"/>
        <w:jc w:val="both"/>
      </w:pPr>
      <w:r>
        <w:rPr>
          <w:rFonts w:ascii="Times New Roman" w:hAnsi="Times New Roman"/>
          <w:sz w:val="22"/>
        </w:rPr>
        <w:t>ORGANIZAÇÃO MUNDIAL DA SAÚDE. Relatório mundial de envelhecimento e saúde. Genebra: OMS, 2015.</w:t>
      </w:r>
    </w:p>
    <w:p>
      <w:pPr>
        <w:spacing w:after="120" w:line="240" w:lineRule="auto"/>
        <w:jc w:val="both"/>
      </w:pPr>
      <w:r>
        <w:rPr>
          <w:rFonts w:ascii="Times New Roman" w:hAnsi="Times New Roman"/>
          <w:sz w:val="22"/>
        </w:rPr>
        <w:t>RADBRUCH, L. et al. Redefining palliative care: a new consensus-based definition. Journal of Pain and Symptom Management, Bonn, v. 60, n. 4, p. 754-764, out. 2020.</w:t>
      </w:r>
    </w:p>
    <w:p>
      <w:pPr>
        <w:spacing w:after="120" w:line="240" w:lineRule="auto"/>
        <w:jc w:val="both"/>
      </w:pPr>
      <w:r>
        <w:rPr>
          <w:rFonts w:ascii="Times New Roman" w:hAnsi="Times New Roman"/>
          <w:sz w:val="22"/>
        </w:rPr>
        <w:t>SAUNDERS, Cicely. The management of terminal malignant disease. Londres: Edward Arnold, 1978.</w:t>
      </w:r>
    </w:p>
    <w:p>
      <w:pPr>
        <w:spacing w:after="120" w:line="240" w:lineRule="auto"/>
        <w:jc w:val="both"/>
      </w:pPr>
      <w:r>
        <w:rPr>
          <w:rFonts w:ascii="Times New Roman" w:hAnsi="Times New Roman"/>
          <w:sz w:val="22"/>
        </w:rPr>
        <w:t>SILVA, R. S. da; AMARAL, J. B. do; MALAGUTTI, W. Enfermagem em cuidados paliativos: cuidando para uma boa morte. 2. ed. São Paulo: Martinari, 2019.</w:t>
      </w:r>
    </w:p>
    <w:p>
      <w:pPr>
        <w:spacing w:after="120" w:line="240" w:lineRule="auto"/>
        <w:jc w:val="both"/>
      </w:pPr>
      <w:r>
        <w:rPr>
          <w:rFonts w:ascii="Times New Roman" w:hAnsi="Times New Roman"/>
          <w:sz w:val="22"/>
        </w:rPr>
        <w:t>SOMMERVILLE, Ian. Software engineering. 10. ed. Boston: Pearson, 2016.</w:t>
      </w:r>
    </w:p>
    <w:p>
      <w:pPr>
        <w:spacing w:after="120" w:line="240" w:lineRule="auto"/>
        <w:jc w:val="both"/>
      </w:pPr>
      <w:r>
        <w:rPr>
          <w:rFonts w:ascii="Times New Roman" w:hAnsi="Times New Roman"/>
          <w:sz w:val="22"/>
        </w:rPr>
        <w:t>UTAMI, D. et al. Talk about death: end of life planning with a virtual agent. In: INTERNATIONAL CONFERENCE ON INTELLIGENT VIRTUAL AGENTS, 17., 2017, Estocolmo. Intelligent virtual agents. Cham: Springer, 2017. p. 441-450.</w:t>
      </w:r>
    </w:p>
    <w:p>
      <w:pPr>
        <w:spacing w:after="120" w:line="240" w:lineRule="auto"/>
        <w:jc w:val="both"/>
      </w:pPr>
      <w:r>
        <w:rPr>
          <w:rFonts w:ascii="Times New Roman" w:hAnsi="Times New Roman"/>
          <w:sz w:val="22"/>
        </w:rPr>
        <w:t>WORLD HEALTH ORGANIZATION. MHealth: use of appropriate digital technologies for public health. Genebra: WHO, 2018.</w:t>
      </w:r>
    </w:p>
    <w:p>
      <w:pPr>
        <w:spacing w:after="120" w:line="240" w:lineRule="auto"/>
        <w:jc w:val="both"/>
      </w:pPr>
      <w:r>
        <w:rPr>
          <w:rFonts w:ascii="Times New Roman" w:hAnsi="Times New Roman"/>
          <w:sz w:val="22"/>
        </w:rPr>
        <w:t>WORLD WIDE WEB CONSORTIUM. Older users and web accessibility: meeting the needs of ageing web users. [S. l.]: W3C, [s. d.]. Disponível em: https://www.w3.org/WAI/older-users/. Acesso em: 29 set. 2026.</w:t>
      </w:r>
    </w:p>
    <w:p>
      <w:pPr>
        <w:spacing w:after="120" w:line="240" w:lineRule="auto"/>
        <w:jc w:val="both"/>
      </w:pPr>
      <w:r>
        <w:rPr>
          <w:rFonts w:ascii="Times New Roman" w:hAnsi="Times New Roman"/>
          <w:sz w:val="22"/>
        </w:rPr>
        <w:t>WORLD WIDE WEB CONSORTIUM. Web Content Accessibility Guidelines (WCAG) 2.2. W3C Recommendation, 12 dez. 2024. Disponível em: https://www.w3.org/TR/WCAG22/. Acesso em: 23 set. 2026.</w:t>
      </w:r>
    </w:p>
    <w:p>
      <w:pPr>
        <w:spacing w:after="120" w:line="240" w:lineRule="auto"/>
        <w:jc w:val="both"/>
      </w:pPr>
      <w:r>
        <w:rPr>
          <w:rFonts w:ascii="Times New Roman" w:hAnsi="Times New Roman"/>
          <w:sz w:val="22"/>
        </w:rPr>
        <w:t>WYND, C.; SCHMIDT, B.; SCHAEFER, M. A. Two quantitative approaches for estimating content validity. Western Journal of Nursing Research, Akron, v. 25, n. 5, p. 508-518, ago. 2003.</w:t>
      </w:r>
    </w:p>
    <w:sectPr w:rsidR="00FC693F" w:rsidRPr="0006063C" w:rsidSect="00034616">
      <w:pgSz w:w="12240" w:h="15840"/>
      <w:pgMar w:top="1699"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