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字段英文名沿用现行页面识别键；全局参数英文名为建议开发命名，正式接口映射由技术设计统一，不表示已核实后台物理字段。序号、中文名、英文名分别成列。新增可选但修改不可改的字段为业务唯一键；改键应新增另一条配置，不能改写已关联的历史记录。</w:t>
      </w:r>
    </w:p>
    <w:p>
      <w:pPr>
        <w:pStyle w:val="Heading3"/>
      </w:pPr>
      <w:r>
        <w:t>2.1.1 唯一键说明</w:t>
      </w:r>
    </w:p>
    <w:p>
      <w:r>
        <w:t>业务唯一键用于判断是否重复配置，系统主键用于识别记录与关联历史，两者分开。所有业务编码以有效主数据编码比较，名称不入键；同键修改配置值不生成另一条当前配置。数据库主键建议统一使用不可变id，具体类型由技术设计确定，不在页面展示。以下为正式开发约束建议，增储版本和结果批次需随后台模型落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025"/>
        <w:gridCol w:w="425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业务唯一键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重复及历史处理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part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每个有效最新配件仅一条当前配置。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type＋仓库 wh＋配件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配件型用part，分类型用abc；非适用项为空。两类分别建立条件唯一约束，避免数据库NULL导致重复。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 shipWh＋收货仓 receiveWh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有向路线；A至B与B至A为不同键。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wh；申请另用独立申请ID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同维度允许批准历史与变更申请共存；当前批准版本与在途申请分开。批准配置有效区间不得冲突，同维度在途申请禁止重复提交；申请ID和版本号作审计关联。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不含仓库；配件型和分类型分别条件唯一。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四项风控参数不入键，同键只保留一组当前参数。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buildType＋仓库 wh＋ABC abc＋XYZ xyz＋体积 volume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完整组合唯一，各分类必填，不将空值当通配。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buildType＋参数代码 parameterCode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PO与STO分别维护；同类型同参数代码唯一，跨类型允许同码不同值。参数描述、值、备注不入键。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code＋仓库编码 whCode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允许或禁止及原因不入键；同配件可在不同仓库分别配置。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建储水位线结果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批次ID batchId＋建储类型 buildType＋配件 part＋建储仓库 wh＋建储日期 useDate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同批次同维度仅一条；YYYYWW版本号不足以区分重算。batchId为建议后台字段。STO不同建储日期分别保留，重算建立新批次，不覆盖历史。</w:t>
            </w:r>
          </w:p>
        </w:tc>
      </w:tr>
    </w:tbl>
    <w:p>
      <w:pPr>
        <w:spacing w:after="20"/>
      </w:pPr>
    </w:p>
    <w:p>
      <w:r>
        <w:t>新增、修改及导入须同时校验库内和文件内唯一性；修改时排除当前记录自身。名称相同或参数值相同不代表键相同。后台以唯一约束及事务处理并发重复，失败返回冲突编码与行号。增储历史版本按配置ID＋版本号唯一，审批日志按申请ID关联，不以申请人或状态替代主键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p>
      <w:r>
        <w:t>以下所有全局PARM默认取值均以当前建储类型＋参数代码匹配。相同代码的PO和STO记录互相独立；禁止取另一类型的默认值，也禁止取通用报表参数补位。历史结果保存当时类型、参数值和版本快照，配置修改仅影响后续计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取值方式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采购LT（人工维护）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样本数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samples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q25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q50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q75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q95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分位数最新计算日期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calcDate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导入维护字段：配件号、取值方式、采购LT（人工维护）。名称、计算值、修改人及更新时间不导入。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目标满足率(%)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导入维护字段：建储类型、类型、仓库编码、目标满足率(%)、配件号或ABC分类。名称、计算值、修改人及更新时间不导入。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导入维护字段：发货仓库编码、收货仓库编码、库间LT。名称、计算值、修改人及更新时间不导入。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天数和原有效期均不被覆盖。页面分开展示当前配置与本次申请，避免把审批中的日期误认为已生效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查询条件依次为：建储类型、配件号、配件名称、仓库编码、申请人、审批状态、申请生效日期、申请失效日期、当前生效日期、当前失效日期。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按当前日期读取已批准配置的增储天数；与当前生效日期、当前失效日期取同一批准版本。申请审批中不覆盖；无当前有效配置显示0。0天的有效配置仍展示起止日期。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 / YYYY-MM-DD</w:t>
              <w:br/>
              <w:t/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系统，条件有值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当前日期命中的已批准配置生效日期，包含当天；只读，与当前生效天数及当前失效日期来自同一版本。无当前有效批准配置时为空，展示—。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 / YYYY-MM-DD</w:t>
              <w:br/>
              <w:t/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系统，条件有值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当前日期命中的已批准配置失效日期，不包含当天；只读。无当前有效批准配置时为空，展示—，不使用本次申请日期代填。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applicant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本次申请生效日期，包含当天；有效日历日期，新增默认当前日期。修改的是申请值，审批期间不改变当前生效配置。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本次申请失效日期，不包含当天；必须晚于申请生效日期，新增或重新提交时须晚于当前日期。审批期间不改变当前失效日期。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审批状态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操作入口与权限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行内仅详情、修改；审批中不允许修改。顶部确认、驳回、撤回、计划经理确认、库存控制高级经理确认作用于勾选记录，不显示“批量”字样。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新增保存与提交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默认为待审批；确认才提交审批。导入字段：建储类型、配件号、仓库编码、申请增储天数、申请生效日期、申请失效日期、申请原因；申请人由登录身份生成。导入不得指定审批状态、当前生效天数、当前生效日期、当前失效日期、审批人或批准值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批准后变更与删除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审批通过后禁止撤销、撤回、驳回；有变更时新建修改申请，保留原批准版本。草稿类待审批、驳回、撤回记录可删除，审批中和通过记录不可直接删除。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列表展示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分别展示当前生效天数、当前生效日期、当前失效日期，以及申请增储天数、申请生效日期、申请失效日期；详情与导出保持一致。新增和修改弹窗分当前生效配置（只读）与本次申请配置（可维护）。不增加审批流程、生效状态或演示角色选择字段。</w:t>
            </w:r>
          </w:p>
        </w:tc>
      </w:tr>
    </w:tbl>
    <w:p>
      <w:pPr>
        <w:spacing w:after="20"/>
      </w:pPr>
    </w:p>
    <w:p>
      <w:pPr>
        <w:pStyle w:val="Heading2"/>
      </w:pPr>
      <w:r>
        <w:t>7.5 新增修改与导入校验</w:t>
      </w:r>
    </w:p>
    <w:p>
      <w:r>
        <w:t>• 建储类型、配件、仓库、申请天数、申请生效/失效日期及原因必填；申请人系统赋值。当前生效天数与日期只读，不接收新增或导入覆盖。配件不能为空，不接受“全配件”隐含含义。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当前生效天数及起止日期按当前日期命中同一已批准版本；批准但尚未到申请生效日期时，原配置仍在有效期内则继续展示原值。无有效版本时天数为0、日期为空；合法0天配置仍展示有效期。已批准参数参与计算另按建储日期判断，两种日期判断独立。</w:t>
      </w:r>
    </w:p>
    <w:p>
      <w:pPr>
        <w:pStyle w:val="Heading2"/>
      </w:pPr>
      <w:r>
        <w:t>7.6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导入维护字段：建储类型、类型、配件号或ABC分类、计划周期。名称、计算值、修改人及更新时间不导入。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导入维护字段：建储类型、配件号、仓库编码、最低风控线系数、最低风控线调整天数、最高风控线系数、最高风控线调整天数。名称、计算值、修改人及更新时间不导入。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逐个配件维护风控成本很高，ABC反映需求贡献、XYZ反映波动、体积反映仓储空间占用，需要组合管理。</w:t>
      </w:r>
    </w:p>
    <w:p>
      <w:r>
        <w:t>按建储类型、仓库和三项分类完整组合维护风控参数，为未维护专属配件的组合提供统一规则。</w:t>
      </w:r>
    </w:p>
    <w:p>
      <w:r>
        <w:t>场景示例：同仓A/X/小组合与A/Z/大组合可维护不同上限；专属配件存在时仍优先专属。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唯一维度：建储类型＋仓库＋ABC＋XYZ＋体积分类。</w:t>
      </w:r>
    </w:p>
    <w:p>
      <w:r>
        <w:t>查询条件依次为：建储类型、仓库编码、ABC分类、XYZ分类、体积分类、最低风控线系数、最高风控线系数、最低风控线调整天数、最高风控线调整天数。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有效ABC分类字典；与仓库、XYZ、体积构成完整组合键，不能空置为通配。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有效XYZ分类字典；与ABC、体积构成完整组合。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导入维护字段：建储类型、仓库编码、ABC分类、XYZ分类、体积分类、四项风控参数。名称、计算值、修改人及更新时间不导入。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10.5 新增修改与导入校验</w:t>
      </w:r>
    </w:p>
    <w:p>
      <w:r>
        <w:t>• 仓库及三项分类均必填，必须存在对应主数据字典；不得把空分类解释为通配全部。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全局参数维护受控默认值，所有模块按固定代码取值；无专属配置时明确回退，不把缺失当0。参数值按建储类型分别维护，代码和业务含义固定；PO修改不影响STO。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p>
      <w:r>
        <w:t>库存策略默认参数按PO建储和STO建储分别维护，查询、列表、详情及编辑均展示建储类型。匹配时只读取当前建储类型，不跨类型回退；同类型缺少有效默认参数应报错。建储类型与参数代码为系统预置且只读，允许修改当前记录的默认值和备注。现有预测或报表参数保留为通用，不参与库存策略默认值匹配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建储、STO 建储；与参数代码联合唯一。原有其他业务参数标记通用，不作库存策略默认取值。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参数描述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parameterDescription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parameterValue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补充业务说明，选填、可修改和清空，最多500字；不增加单位、适用范围和状态列。单位和校验由后台字典提供。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updatedAt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964"/>
        <w:gridCol w:w="2324"/>
        <w:gridCol w:w="737"/>
        <w:gridCol w:w="1417"/>
        <w:gridCol w:w="3515"/>
      </w:tblGrid>
      <w:tr>
        <w:trPr>
          <w:cantSplit/>
          <w:tblHeader/>
        </w:trPr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建储类型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共18条库存策略默认配置：PO使用PARM01与PARM03至PARM10，STO使用PARM02至PARM10。首轮初始化沿用第6版已确认默认值，共用参数的两类初始值相同；后续可分别调整，未确认新的差异值不预设。采购LT只服务PO，库间LT只服务STO，不设置无业务用途的交叉记录。</w:t>
      </w: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查询与编辑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建储类型和参数代码联合查询；需求原稿同时要求名称与字段类型查询，字段类型可作为查询字典而不占列表列。编辑页建储类型、代码、描述只读；默认值和备注可改，备注选填、可清空、最多500字；返回不保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默认值不能为空，整数不允许小数，精度超限拒绝，枚举参数只能使用登记字典。类型和范围由参数代码决定，不能只做文本非空校验。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保存与留痕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保存后记录修改日志；参数影响后续新计算或明确发起的重算，不改写历史结果。保存失败不改变参数及修改人时间。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导出与入口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导出查询及全量字典需保留建储类型、代码、值和修改信息；本页面不提供通用导入、新增、删除入口。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参数边界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本次库存策略只使用上述PARM字典；现有页面其他报表/预测参数继续属于原系统其他业务，不通过改名方式占用PARM含义。</w:t>
            </w:r>
          </w:p>
        </w:tc>
      </w:tr>
    </w:tbl>
    <w:p>
      <w:pPr>
        <w:spacing w:after="20"/>
      </w:pP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stock_flag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数据同步时间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sync_data_time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单条编辑：配件、仓库只读，修改备货标识与备注；取消不写入。详情显示仓库编码、仓库名称和备注，不显示仓库类型、ABC、XYZ。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单个与批量新增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单个新增：选择配件、仓库和备货标识。批量新增支持一个或多个配件与一个或多个仓库，按配件集合×仓库集合展开预览，一行一个组合，可移除不需要的组合。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批量设置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列表勾选或全选当前筛选结果后，打开批量设置备货规则；独立勾选修改备货标识、修改备货原因，可只改其一或同时改。至少选择一项。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批量原因处理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未勾选修改原因时保留每条原备注；勾选且备注为空时表示明确清空所选备注。只有勾选的记录受影响，非目标仓库记录不变。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导入字段为配件号、仓库编码、备货标识、备注，一行一个组合；不得把多个编码放一个单元格。新增和更新应明确区分模式；更新仅改已有组合，缺失组合报错。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导出查询及全量文件包含拆分的仓库编码、仓库名称、配件号、名称、备货标识、备注及同步时间；不导出仓库类型、ABC、XYZ。</w:t>
            </w:r>
          </w:p>
        </w:tc>
      </w:tr>
    </w:tbl>
    <w:p>
      <w:pPr>
        <w:spacing w:after="20"/>
      </w:pP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p>
      <w:pPr>
        <w:pStyle w:val="Heading1"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目标库存和再订购点突破风控线列头均按突破最高风控线、突破最低风控线、否筛选。大于最高或小于最低才算突破，等于边界不突破。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S0&gt;原最高线显示突破最高风控线，S0&lt;原最低线显示突破最低风控线，否则否；等于边界不突破。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是否应用兜底值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floorApplied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3 个月月均销量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6 个月需求波动标准差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S0&gt;原最高线显示突破最高风控线，S0&lt;原最低线显示突破最低风控线，否则否；等于边界不突破。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12 周周均销量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8 周需求波动标准差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详情按基础信息、初始与风控、PO兜底、不建储与最终结果、预测输入与参数来源分组；字段与列表一致，查看历史人工调整记录。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人工调整表单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调整弹窗仅包含调整后目标库存、调整后再订购点、调整后最高风控线、调整后最低风控线和人工调整原因；四项数值默认带出当前有效值，五项全部必填。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调整数值校验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四项数值为非负数，当前界面最多2位小数；PO要求最高线≥目标&gt;再订购点≥最低线；STO要求最高线≥目标≥最低线且0≤再订购点≤目标。0仍需通过关系校验。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调整保存与取消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不建储记录禁止人工调整。保存只改人工层与最终层，初始、风控和兜底阶段值保持；取消不保存，原因和前后四项、操作人、时间完整记录。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结果生成与导出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结果由计算生成，无人工新增、通用导入、删除和审批入口；不增加尚未约定的结果审批。导出当前查询及全量按当前类型生成57或52列。</w:t>
            </w:r>
          </w:p>
        </w:tc>
      </w:tr>
    </w:tbl>
    <w:p>
      <w:pPr>
        <w:spacing w:after="20"/>
      </w:pP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使用建储类型＋PARM代码字典，分类型校验、留痕并供计算服务读取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现页预置PO/STO共18条库存策略默认配置，支持类型筛选、独立编辑及浏览器持久保存；正式实现需服务端存储、权限和参数版本管理。其他业务参数保留为通用。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r>
        <w:t>交付时提供接口字段表、枚举与错误码、主数据及组织依赖清单、公式与参数版本、迁移和回退方案。</w:t>
      </w:r>
    </w:p>
    <w:p>
      <w:r>
        <w:t>文档关联：第6版原需求的5.1.3.2、5.2.3.2提供计算逻辑，5.3.9.2提供全局参数，现行页面提供字段顺序与交互。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8D4CBF46-03B4-463C-B22B-AE0B961723D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开发测试需求及唯一键说明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