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PARM01至PARM10分别唯一；参数描述、值、备注不入键。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导入维护字段：配件号、取值方式、采购LT（人工维护）。名称、计算值、修改人及更新时间不导入。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导入维护字段：建储类型、类型、仓库编码、目标满足率(%)、配件号或ABC分类。名称、计算值、修改人及更新时间不导入。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导入维护字段：发货仓库编码、收货仓库编码、库间LT。名称、计算值、修改人及更新时间不导入。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按建储类型、配件和仓库发起带有效期的申请。计划员申请两级审批，计划经理申请一级审批；批准版本与在途申请分开，审批期间原值不被覆盖。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查询条件依次为：建储类型、配件号、配件名称、仓库编码、申请人、审批状态、生效日期、失效日期。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生效日期，包含当天；有效日历日期，新增默认当前日期。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失效日期，不包含当天；必须晚于生效日期，新增/重新提交须晚于当前日期。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按当前日期显示已批准配置天数；审批中的申请不覆盖原值；无当前有效批准值为0。只读，不作为建储日期的直接取数值。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操作入口与权限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行内仅详情、修改；审批中不允许修改。顶部确认、驳回、撤回、计划经理确认、库存控制高级经理确认作用于勾选记录，不显示“批量”字样。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新增保存与提交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默认为待审批；确认才提交审批。导入字段：建储类型、配件号、仓库编码、申请增储天数、生效日期、失效日期、申请原因；申请人由登录身份生成。导入不得指定审批状态、当前生效天数、审批人或批准值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批准后变更与删除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审批通过后禁止撤销、撤回、驳回；有变更时新建修改申请，保留原批准版本。草稿类待审批、驳回、撤回记录可删除，审批中和通过记录不可直接删除。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列表展示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列表保留申请人和审批状态；不增加审批流程、生效状态、演示角色选择字段。当前生效天数只读保留。</w:t>
            </w:r>
          </w:p>
        </w:tc>
      </w:tr>
    </w:tbl>
    <w:p>
      <w:pPr>
        <w:spacing w:after="20"/>
      </w:pPr>
    </w:p>
    <w:p>
      <w:pPr>
        <w:pStyle w:val="Heading2"/>
      </w:pPr>
      <w:r>
        <w:t>7.5 新增修改与导入校验</w:t>
      </w:r>
    </w:p>
    <w:p>
      <w:r>
        <w:t>• 建储类型、配件、仓库、申请天数、生效/失效日期及原因必填；申请人系统赋值。配件不能为空，不接受“全配件”隐含含义。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已批准参数是否参与计算按建储日期判断；当前生效天数按当前日期展示；两种日期判断独立。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导入维护字段：建储类型、类型、配件号或ABC分类、计划周期。名称、计算值、修改人及更新时间不导入。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导入维护字段：建储类型、配件号、仓库编码、最低风控线系数、最低风控线调整天数、最高风控线系数、最高风控线调整天数。名称、计算值、修改人及更新时间不导入。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逐个配件维护风控成本很高，ABC反映需求贡献、XYZ反映波动、体积反映仓储空间占用，需要组合管理。</w:t>
      </w:r>
    </w:p>
    <w:p>
      <w:r>
        <w:t>按建储类型、仓库和三项分类完整组合维护风控参数，为未维护专属配件的组合提供统一规则。</w:t>
      </w:r>
    </w:p>
    <w:p>
      <w:r>
        <w:t>场景示例：同仓A/X/小组合与A/Z/大组合可维护不同上限；专属配件存在时仍优先专属。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唯一维度：建储类型＋仓库＋ABC＋XYZ＋体积分类。</w:t>
      </w:r>
    </w:p>
    <w:p>
      <w:r>
        <w:t>查询条件依次为：建储类型、仓库编码、ABC分类、XYZ分类、体积分类、最低风控线系数、最高风控线系数、最低风控线调整天数、最高风控线调整天数。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导入维护字段：建储类型、仓库编码、ABC分类、XYZ分类、体积分类、四项风控参数。名称、计算值、修改人及更新时间不导入。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10.5 新增修改与导入校验</w:t>
      </w:r>
    </w:p>
    <w:p>
      <w:r>
        <w:t>• 仓库及三项分类均必填，必须存在对应主数据字典；不得把空分类解释为通配全部。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全局参数维护受控默认值，所有模块按固定代码取值；无专属配置时明确回退，不把缺失当0。参数值可维护，代码和业务含义固定。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只读展示业务解释；不增加单位、适用范围和状态列。单位和校验由后台字典提供。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608"/>
        <w:gridCol w:w="794"/>
        <w:gridCol w:w="1701"/>
        <w:gridCol w:w="3742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查询与编辑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按参数代码查询；需求原稿同时要求名称与字段类型查询，字段类型可作为查询字典而不占列表列。编辑页代码、描述、备注只读，仅默认值可改；返回不保存。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默认值不能为空，整数不允许小数，精度超限拒绝，枚举参数只能使用登记字典。类型和范围由参数代码决定，不能只做文本非空校验。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保存与留痕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保存后记录修改日志；参数影响后续新计算或明确发起的重算，不改写历史结果。保存失败不改变参数及修改人时间。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导出与入口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导出查询及全量字典需保留代码、值和修改信息；本页面不提供通用导入、新增、删除入口。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参数边界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本次库存策略只使用上述PARM字典；现有页面其他报表/预测参数继续属于原系统其他业务，不通过改名方式占用PARM含义。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单条编辑：配件、仓库只读，修改备货标识与备注；取消不写入。详情显示仓库编码、仓库名称和备注，不显示仓库类型、ABC、XYZ。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单个与批量新增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单个新增：选择配件、仓库和备货标识。批量新增支持一个或多个配件与一个或多个仓库，按配件集合×仓库集合展开预览，一行一个组合，可移除不需要的组合。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批量设置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列表勾选或全选当前筛选结果后，打开批量设置备货规则；独立勾选修改备货标识、修改备货原因，可只改其一或同时改。至少选择一项。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批量原因处理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未勾选修改原因时保留每条原备注；勾选且备注为空时表示明确清空所选备注。只有勾选的记录受影响，非目标仓库记录不变。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导入字段为配件号、仓库编码、备货标识、备注，一行一个组合；不得把多个编码放一个单元格。新增和更新应明确区分模式；更新仅改已有组合，缺失组合报错。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导出查询及全量文件包含拆分的仓库编码、仓库名称、配件号、名称、备货标识、备注及同步时间；不导出仓库类型、ABC、XYZ。</w:t>
            </w:r>
          </w:p>
        </w:tc>
      </w:tr>
    </w:tbl>
    <w:p>
      <w:pPr>
        <w:spacing w:after="20"/>
      </w:pP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  <w:pageBreakBefore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目标库存突破风控线列头按是/否筛选；再订购点突破列头按突破最高风控线、突破最低风控线、否筛选。大于最高或小于最低才算突破，等于边界不突破。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详情按基础信息、初始与风控、PO兜底、不建储与最终结果、预测输入与参数来源分组；字段与列表一致，查看历史人工调整记录。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人工调整表单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调整弹窗仅包含调整后目标库存、调整后再订购点、调整后最高风控线、调整后最低风控线和人工调整原因；四项数值默认带出当前有效值，五项全部必填。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调整数值校验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四项数值为非负数，当前界面最多2位小数；PO要求最高线≥目标&gt;再订购点≥最低线；STO要求最高线≥目标≥最低线且0≤再订购点≤目标。0仍需通过关系校验。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调整保存与取消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不建储记录禁止人工调整。保存只改人工层与最终层，初始、风控和兜底阶段值保持；取消不保存，原因和前后四项、操作人、时间完整记录。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结果生成与导出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结果由计算生成，无人工新增、通用导入、删除和审批入口；不增加尚未约定的结果审批。导出当前查询及全量按当前类型生成57或52列。</w:t>
            </w:r>
          </w:p>
        </w:tc>
      </w:tr>
    </w:tbl>
    <w:p>
      <w:pPr>
        <w:spacing w:after="20"/>
      </w:pP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使用PARM01至PARM10字典、分类型校验、留痕并供计算服务读取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现页仍有其他业务示例代码及非空校验，应按本文库存策略字典补齐，不把报表参数直接映射为同义。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D2A5613D-6481-4B7A-A968-A185F5E3195B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