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320" w:firstLineChars="100"/>
        <w:jc w:val="center"/>
        <w:rPr>
          <w:rFonts w:ascii="Times New Roman" w:hAnsi="Times New Roman" w:eastAsia="黑体" w:cs="Times New Roman"/>
        </w:rPr>
      </w:pPr>
      <w:r>
        <w:rPr>
          <w:rFonts w:hint="eastAsia" w:ascii="Times New Roman" w:hAnsi="黑体" w:eastAsia="黑体" w:cs="Times New Roman"/>
          <w:sz w:val="32"/>
          <w:szCs w:val="32"/>
        </w:rPr>
        <w:t>县域全人群慢性肝病发病就诊情况和中医药治疗的大数据分析研究</w:t>
      </w:r>
      <w:r>
        <w:rPr>
          <w:rFonts w:hint="eastAsia" w:ascii="Times New Roman" w:hAnsi="黑体" w:eastAsia="黑体" w:cs="Times New Roman"/>
          <w:color w:val="FF0000"/>
          <w:sz w:val="32"/>
          <w:szCs w:val="32"/>
        </w:rPr>
        <w:t>技术总结</w:t>
      </w:r>
    </w:p>
    <w:p>
      <w:pPr>
        <w:rPr>
          <w:rFonts w:ascii="Times New Roman" w:hAnsi="Times New Roman" w:eastAsia="黑体" w:cs="Times New Roman"/>
          <w:b/>
          <w:bCs/>
          <w:sz w:val="28"/>
          <w:szCs w:val="28"/>
        </w:rPr>
      </w:pPr>
      <w:r>
        <w:rPr>
          <w:rFonts w:ascii="Times New Roman" w:hAnsi="Times New Roman" w:eastAsia="黑体" w:cs="Times New Roman"/>
          <w:b/>
          <w:bCs/>
          <w:sz w:val="28"/>
          <w:szCs w:val="28"/>
        </w:rPr>
        <w:t xml:space="preserve">1 </w:t>
      </w:r>
      <w:r>
        <w:rPr>
          <w:rFonts w:ascii="Times New Roman" w:hAnsi="黑体" w:eastAsia="黑体" w:cs="Times New Roman"/>
          <w:b/>
          <w:bCs/>
          <w:sz w:val="28"/>
          <w:szCs w:val="28"/>
        </w:rPr>
        <w:t>背景</w:t>
      </w:r>
    </w:p>
    <w:p>
      <w:pPr>
        <w:ind w:firstLine="492" w:firstLineChars="175"/>
        <w:rPr>
          <w:rFonts w:ascii="Times New Roman" w:hAnsi="Times New Roman" w:eastAsia="仿宋" w:cs="Times New Roman"/>
          <w:b/>
          <w:sz w:val="28"/>
          <w:szCs w:val="28"/>
        </w:rPr>
      </w:pPr>
      <w:r>
        <w:rPr>
          <w:rFonts w:ascii="Times New Roman" w:hAnsi="Times New Roman" w:eastAsia="仿宋" w:cs="Times New Roman"/>
          <w:b/>
          <w:sz w:val="28"/>
          <w:szCs w:val="28"/>
        </w:rPr>
        <w:t xml:space="preserve">1.1 </w:t>
      </w:r>
      <w:r>
        <w:rPr>
          <w:rFonts w:hint="eastAsia" w:ascii="Times New Roman" w:hAnsi="仿宋" w:eastAsia="仿宋" w:cs="Times New Roman"/>
          <w:b/>
          <w:sz w:val="28"/>
          <w:szCs w:val="28"/>
        </w:rPr>
        <w:t>慢性肝病中医学研究及大数据应用现况</w:t>
      </w:r>
    </w:p>
    <w:p>
      <w:pPr>
        <w:ind w:firstLine="560" w:firstLineChars="200"/>
        <w:rPr>
          <w:rFonts w:ascii="Times New Roman" w:hAnsi="仿宋" w:eastAsia="仿宋"/>
          <w:sz w:val="28"/>
          <w:szCs w:val="28"/>
        </w:rPr>
      </w:pPr>
      <w:r>
        <w:rPr>
          <w:rFonts w:hint="eastAsia" w:ascii="Times New Roman" w:hAnsi="仿宋" w:eastAsia="仿宋"/>
          <w:sz w:val="28"/>
          <w:szCs w:val="28"/>
        </w:rPr>
        <w:t>肝病是指发生在肝脏的病变，包括非酒精性脂肪肝（NAFLD）、病毒性肝炎（乙肝）、肝硬化、酒精肝等多种肝病，是一种常见的危害性极大的疾病。我国是慢性肝病大国，其中NAFLD患病率为20%~33%，酒精性肝病患病率为4.3%~6.5%，慢性乙肝患者约有两千多万。慢性肝病（脂肪肝、慢性肝炎、肝硬化等）属中医学积、胁痛、黄疸、臌胀等范畴。由感受疫毒，情志郁结，劳欲过度，饮食不节等伤及肝经、损及肝络、迁延日久、渐积而成。是由"毒、痰、热、瘀"综合而复杂的病机所致，多种病机交织缠绵贯穿于该病的全过程。近年来涌现出一批疗效显著的中药复方，但因学术流派、个人经验和学术观点的不同，处方用药上有明显差异，因此，对这些中医复方的药物组成进行分析，挖掘其用药规律，既是对中医专家宝贵临床经验的整理，也是对中医组方用药的梳理。我国中医药资源丰富，历史悠久，但中医药大数据目前仍在“沉睡”，并广泛分布于整个中医药领域。运用大数据的理论及其研究方法整理和挖掘中医药宝库，将给中医药领域带来前所未有的机遇和挑战。大数据技术与传统中医药服务相结合，将有力推进中医药行业发展，促进中医药的创新发展。</w:t>
      </w:r>
    </w:p>
    <w:p>
      <w:pPr>
        <w:ind w:firstLine="560" w:firstLineChars="200"/>
        <w:rPr>
          <w:rFonts w:ascii="Times New Roman" w:hAnsi="仿宋" w:eastAsia="仿宋"/>
          <w:sz w:val="28"/>
          <w:szCs w:val="28"/>
        </w:rPr>
      </w:pPr>
      <w:r>
        <w:rPr>
          <w:rFonts w:hint="eastAsia" w:ascii="Times New Roman" w:hAnsi="仿宋" w:eastAsia="仿宋"/>
          <w:sz w:val="28"/>
          <w:szCs w:val="28"/>
        </w:rPr>
        <w:t>目前大数据挖掘已在中医药临床用药规律研究等方面取得了一些进展，如通过基于数据挖掘的非酒精性脂肪肝中医临床用药规律研究，发现非酒精性脂肪肝病位在肝，与脾、肾关系密切；病性属本虚标实，脾肾亏虚为本，湿痰瘀热痹阻于肝为标；发现了白术-茯苓等经典的药对，以及决明子-丹参等新药对。采用计算机数据挖掘技术对民族医药传统用药经验中的显性和隐性信息进行知识发掘和提取，最终为民族医药传统用药经验的抢救性发掘整理、有效性、安全性评价等研究提供了有益的参考。此外，面对国际上原创新药研发投入逐年增高且失败风险逐年增大的趋势，挖掘已有药物新的适应症（旧药新用或药物重新定位）能够在一定程度上有效规避研发风险、降低研发成本、加快药物上市的步伐从而迅速满足临床用药需求。参考和借鉴系列用于挖掘和指导药物重定位的医药大数据挖掘方法、技术,将有助于我国科研工作者开发和改进适应我国国情的药物重定位技术，特别是中药的适应症拓展，从而为我国带来社会和经济效益。</w:t>
      </w:r>
    </w:p>
    <w:p>
      <w:pPr>
        <w:ind w:firstLine="492" w:firstLineChars="175"/>
        <w:rPr>
          <w:rFonts w:ascii="Times New Roman" w:hAnsi="Times New Roman" w:eastAsia="仿宋" w:cs="Times New Roman"/>
          <w:b/>
          <w:sz w:val="28"/>
          <w:szCs w:val="28"/>
        </w:rPr>
      </w:pPr>
      <w:r>
        <w:rPr>
          <w:rFonts w:ascii="Times New Roman" w:hAnsi="Times New Roman" w:eastAsia="仿宋" w:cs="Times New Roman"/>
          <w:b/>
          <w:sz w:val="28"/>
          <w:szCs w:val="28"/>
        </w:rPr>
        <w:t xml:space="preserve">1.2 </w:t>
      </w:r>
      <w:r>
        <w:rPr>
          <w:rFonts w:ascii="Times New Roman" w:hAnsi="仿宋" w:eastAsia="仿宋" w:cs="Times New Roman"/>
          <w:b/>
          <w:sz w:val="28"/>
          <w:szCs w:val="28"/>
        </w:rPr>
        <w:t>鄞州</w:t>
      </w:r>
      <w:r>
        <w:rPr>
          <w:rFonts w:hint="eastAsia" w:ascii="Times New Roman" w:hAnsi="仿宋" w:eastAsia="仿宋" w:cs="Times New Roman"/>
          <w:b/>
          <w:sz w:val="28"/>
          <w:szCs w:val="28"/>
        </w:rPr>
        <w:t>区域</w:t>
      </w:r>
      <w:r>
        <w:rPr>
          <w:rFonts w:ascii="Times New Roman" w:hAnsi="仿宋" w:eastAsia="仿宋" w:cs="Times New Roman"/>
          <w:b/>
          <w:sz w:val="28"/>
          <w:szCs w:val="28"/>
        </w:rPr>
        <w:t>健康</w:t>
      </w:r>
      <w:r>
        <w:rPr>
          <w:rFonts w:hint="eastAsia" w:ascii="Times New Roman" w:hAnsi="仿宋" w:eastAsia="仿宋" w:cs="Times New Roman"/>
          <w:b/>
          <w:sz w:val="28"/>
          <w:szCs w:val="28"/>
        </w:rPr>
        <w:t>大</w:t>
      </w:r>
      <w:r>
        <w:rPr>
          <w:rFonts w:ascii="Times New Roman" w:hAnsi="仿宋" w:eastAsia="仿宋" w:cs="Times New Roman"/>
          <w:b/>
          <w:sz w:val="28"/>
          <w:szCs w:val="28"/>
        </w:rPr>
        <w:t>数据</w:t>
      </w:r>
      <w:r>
        <w:rPr>
          <w:rFonts w:hint="eastAsia" w:ascii="Times New Roman" w:hAnsi="仿宋" w:eastAsia="仿宋" w:cs="Times New Roman"/>
          <w:b/>
          <w:sz w:val="28"/>
          <w:szCs w:val="28"/>
        </w:rPr>
        <w:t>平台概况</w:t>
      </w:r>
    </w:p>
    <w:p>
      <w:pPr>
        <w:ind w:firstLine="490" w:firstLineChars="175"/>
        <w:rPr>
          <w:rFonts w:ascii="Times New Roman" w:hAnsi="Times New Roman" w:eastAsia="仿宋"/>
          <w:sz w:val="28"/>
          <w:szCs w:val="28"/>
        </w:rPr>
      </w:pPr>
      <w:r>
        <w:rPr>
          <w:rFonts w:hint="eastAsia" w:ascii="Times New Roman" w:hAnsi="仿宋" w:eastAsia="仿宋"/>
          <w:sz w:val="28"/>
          <w:szCs w:val="28"/>
        </w:rPr>
        <w:t>鄞州是浙江省宁波市的一个区，面积</w:t>
      </w:r>
      <w:r>
        <w:rPr>
          <w:rFonts w:ascii="Times New Roman" w:hAnsi="Times New Roman" w:eastAsia="仿宋"/>
          <w:sz w:val="28"/>
          <w:szCs w:val="28"/>
        </w:rPr>
        <w:t>806</w:t>
      </w:r>
      <w:r>
        <w:rPr>
          <w:rFonts w:hint="eastAsia" w:ascii="Times New Roman" w:hAnsi="仿宋" w:eastAsia="仿宋"/>
          <w:sz w:val="28"/>
          <w:szCs w:val="28"/>
        </w:rPr>
        <w:t>平方公里，总人口为</w:t>
      </w:r>
      <w:r>
        <w:rPr>
          <w:rFonts w:ascii="Times New Roman" w:hAnsi="Times New Roman" w:eastAsia="仿宋"/>
          <w:sz w:val="28"/>
          <w:szCs w:val="28"/>
        </w:rPr>
        <w:t>108</w:t>
      </w:r>
      <w:r>
        <w:rPr>
          <w:rFonts w:hint="eastAsia" w:ascii="Times New Roman" w:hAnsi="仿宋" w:eastAsia="仿宋"/>
          <w:sz w:val="28"/>
          <w:szCs w:val="28"/>
        </w:rPr>
        <w:t>万，其中包括</w:t>
      </w:r>
      <w:r>
        <w:rPr>
          <w:rFonts w:ascii="Times New Roman" w:hAnsi="Times New Roman" w:eastAsia="仿宋"/>
          <w:sz w:val="28"/>
          <w:szCs w:val="28"/>
        </w:rPr>
        <w:t>73</w:t>
      </w:r>
      <w:r>
        <w:rPr>
          <w:rFonts w:hint="eastAsia" w:ascii="Times New Roman" w:hAnsi="仿宋" w:eastAsia="仿宋"/>
          <w:sz w:val="28"/>
          <w:szCs w:val="28"/>
        </w:rPr>
        <w:t>万户籍居民。鄞州区经济发展迅速，</w:t>
      </w:r>
      <w:r>
        <w:rPr>
          <w:rFonts w:ascii="Times New Roman" w:hAnsi="Times New Roman" w:eastAsia="仿宋"/>
          <w:sz w:val="28"/>
          <w:szCs w:val="28"/>
        </w:rPr>
        <w:t>2006</w:t>
      </w:r>
      <w:r>
        <w:rPr>
          <w:rFonts w:hint="eastAsia" w:ascii="Times New Roman" w:hAnsi="仿宋" w:eastAsia="仿宋"/>
          <w:sz w:val="28"/>
          <w:szCs w:val="28"/>
        </w:rPr>
        <w:t>年，鄞州区卫生和计划生育局设计并建立了卫生信息系统，当时旨在为当地的基层临床医生或社区医生提供日常基本诊疗或公共卫生服务的工具。从</w:t>
      </w:r>
      <w:r>
        <w:rPr>
          <w:rFonts w:ascii="Times New Roman" w:hAnsi="Times New Roman" w:eastAsia="仿宋"/>
          <w:sz w:val="28"/>
          <w:szCs w:val="28"/>
        </w:rPr>
        <w:t>2008</w:t>
      </w:r>
      <w:r>
        <w:rPr>
          <w:rFonts w:hint="eastAsia" w:ascii="Times New Roman" w:hAnsi="仿宋" w:eastAsia="仿宋"/>
          <w:sz w:val="28"/>
          <w:szCs w:val="28"/>
        </w:rPr>
        <w:t>年起，完善了全科医疗基础设施和综合性电子健康信息系统。鄞州卫生信息系统的特点是可通过每个居民的唯一编码链接不同来源的数据库。利用该信息系统可及时获取当地居民的相关信息，包括一般人口统计特征、住院和门诊电子病历（</w:t>
      </w:r>
      <w:r>
        <w:rPr>
          <w:rFonts w:ascii="Times New Roman" w:hAnsi="仿宋" w:eastAsia="仿宋"/>
          <w:sz w:val="28"/>
          <w:szCs w:val="28"/>
        </w:rPr>
        <w:t>electronic medical record</w:t>
      </w:r>
      <w:r>
        <w:rPr>
          <w:rFonts w:hint="eastAsia" w:ascii="Times New Roman" w:hAnsi="仿宋" w:eastAsia="仿宋"/>
          <w:sz w:val="28"/>
          <w:szCs w:val="28"/>
        </w:rPr>
        <w:t xml:space="preserve">, </w:t>
      </w:r>
      <w:r>
        <w:rPr>
          <w:rFonts w:ascii="Times New Roman" w:hAnsi="Times New Roman" w:eastAsia="仿宋"/>
          <w:sz w:val="28"/>
          <w:szCs w:val="28"/>
        </w:rPr>
        <w:t>EMR</w:t>
      </w:r>
      <w:r>
        <w:rPr>
          <w:rFonts w:hint="eastAsia" w:ascii="Times New Roman" w:hAnsi="仿宋" w:eastAsia="仿宋"/>
          <w:sz w:val="28"/>
          <w:szCs w:val="28"/>
        </w:rPr>
        <w:t>）、健康保险数据、居民出生和死亡信息、社区内疾病管理和其他医疗服务信息等。该区域信息系统已经涵盖了鄞州</w:t>
      </w:r>
      <w:r>
        <w:rPr>
          <w:rFonts w:ascii="Times New Roman" w:hAnsi="Times New Roman" w:eastAsia="仿宋"/>
          <w:sz w:val="28"/>
          <w:szCs w:val="28"/>
        </w:rPr>
        <w:t>95</w:t>
      </w:r>
      <w:r>
        <w:rPr>
          <w:rFonts w:hint="eastAsia" w:ascii="Times New Roman" w:hAnsi="仿宋" w:eastAsia="仿宋"/>
          <w:sz w:val="28"/>
          <w:szCs w:val="28"/>
        </w:rPr>
        <w:t>％的常住居民从出生到死亡，包括儿童、青少年、孕妇、成人和老年人在内的几乎所有与居民健康相关的信息。</w:t>
      </w:r>
    </w:p>
    <w:p>
      <w:pPr>
        <w:widowControl/>
        <w:ind w:firstLine="490" w:firstLineChars="175"/>
        <w:jc w:val="left"/>
        <w:rPr>
          <w:rFonts w:ascii="Times New Roman" w:hAnsi="仿宋" w:eastAsia="仿宋"/>
          <w:sz w:val="28"/>
          <w:szCs w:val="28"/>
        </w:rPr>
      </w:pPr>
      <w:r>
        <w:rPr>
          <w:rFonts w:hint="eastAsia" w:ascii="Times New Roman" w:hAnsi="仿宋" w:eastAsia="仿宋"/>
          <w:sz w:val="28"/>
          <w:szCs w:val="28"/>
        </w:rPr>
        <w:t>为了充分利用卫生信息系统的数据，开展相关科学研究并为决策服务，鄞州区卫生局和鄞州区疾病预防控制中心基于前期建立的卫生信息系统，建立了区域健康大数据平台。该健康大数据平台的主要特点包括大数据构架安全便捷、多源异构数据的标准化模式、高效服务于科研和业务工作。利用该大数据平台，可开展一系列的流行病学和临床相关研究。</w:t>
      </w:r>
    </w:p>
    <w:p>
      <w:pPr>
        <w:widowControl/>
        <w:jc w:val="left"/>
        <w:rPr>
          <w:rFonts w:ascii="Times New Roman" w:hAnsi="黑体" w:eastAsia="黑体" w:cs="Times New Roman"/>
          <w:b/>
          <w:bCs/>
          <w:kern w:val="0"/>
          <w:sz w:val="28"/>
          <w:szCs w:val="28"/>
        </w:rPr>
      </w:pPr>
      <w:r>
        <w:rPr>
          <w:rFonts w:ascii="Times New Roman" w:hAnsi="Times New Roman" w:eastAsia="黑体" w:cs="Times New Roman"/>
          <w:b/>
          <w:bCs/>
          <w:kern w:val="0"/>
          <w:sz w:val="28"/>
          <w:szCs w:val="28"/>
        </w:rPr>
        <w:t xml:space="preserve">2 </w:t>
      </w:r>
      <w:r>
        <w:rPr>
          <w:rFonts w:hint="eastAsia" w:ascii="Times New Roman" w:hAnsi="黑体" w:eastAsia="黑体" w:cs="Times New Roman"/>
          <w:b/>
          <w:bCs/>
          <w:kern w:val="0"/>
          <w:sz w:val="28"/>
          <w:szCs w:val="28"/>
        </w:rPr>
        <w:t>研究内容与方法</w:t>
      </w:r>
    </w:p>
    <w:p>
      <w:pPr>
        <w:ind w:firstLine="422" w:firstLineChars="150"/>
        <w:rPr>
          <w:rFonts w:ascii="Times New Roman" w:hAnsi="仿宋" w:eastAsia="仿宋" w:cs="Times New Roman"/>
          <w:b/>
          <w:sz w:val="28"/>
          <w:szCs w:val="28"/>
        </w:rPr>
      </w:pPr>
      <w:r>
        <w:rPr>
          <w:rFonts w:ascii="Times New Roman" w:hAnsi="仿宋" w:eastAsia="仿宋" w:cs="Times New Roman"/>
          <w:b/>
          <w:sz w:val="28"/>
          <w:szCs w:val="28"/>
        </w:rPr>
        <w:t xml:space="preserve">2.1 </w:t>
      </w:r>
      <w:r>
        <w:rPr>
          <w:rFonts w:hint="eastAsia" w:ascii="Times New Roman" w:hAnsi="仿宋" w:eastAsia="仿宋" w:cs="Times New Roman"/>
          <w:b/>
          <w:sz w:val="28"/>
          <w:szCs w:val="28"/>
        </w:rPr>
        <w:t>研究内容与目标</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中医药治疗慢性肝病疗效确切、特色显著，临床资料丰富。但目前尚未见有中医药治疗各类慢性肝病的治疗/用药规律、共性组方原则、疗效特色及存在问题等的深入研究。采用现有医疗数据挖掘分析方法，对鄞州区域2008-2020年期间中医药治疗慢性肝病临床大数据进行挖掘分析，分析慢性肝病发病情况，总结诊治/用药规律，比较中、西医治疗慢性肝病特点和差异，以县域带动更大区域医疗信息化建设及应用，促进中医药治疗慢性肝病的创新和发展是本课题所要解决的关键问题。</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通过数据挖掘和分析，结合动物模型研究，以达到以下目标：（1）明确区域各类慢性肝病患者接受中医药治疗情况；（2）总结重点药物治疗慢性肝病的治疗规律及优缺点。（3）提出加强慢性肝病中医药治疗工作对策。</w:t>
      </w:r>
    </w:p>
    <w:p>
      <w:pPr>
        <w:ind w:firstLine="422" w:firstLineChars="150"/>
        <w:rPr>
          <w:rFonts w:ascii="Times New Roman" w:hAnsi="仿宋" w:eastAsia="仿宋" w:cs="Times New Roman"/>
          <w:b/>
          <w:sz w:val="28"/>
          <w:szCs w:val="28"/>
        </w:rPr>
      </w:pPr>
      <w:r>
        <w:rPr>
          <w:rFonts w:ascii="Times New Roman" w:hAnsi="仿宋" w:eastAsia="仿宋" w:cs="Times New Roman"/>
          <w:b/>
          <w:sz w:val="28"/>
          <w:szCs w:val="28"/>
        </w:rPr>
        <w:t>2.</w:t>
      </w:r>
      <w:r>
        <w:rPr>
          <w:rFonts w:hint="eastAsia" w:ascii="Times New Roman" w:hAnsi="仿宋" w:eastAsia="仿宋" w:cs="Times New Roman"/>
          <w:b/>
          <w:sz w:val="28"/>
          <w:szCs w:val="28"/>
        </w:rPr>
        <w:t>2</w:t>
      </w:r>
      <w:r>
        <w:rPr>
          <w:rFonts w:ascii="Times New Roman" w:hAnsi="仿宋" w:eastAsia="仿宋" w:cs="Times New Roman"/>
          <w:b/>
          <w:sz w:val="28"/>
          <w:szCs w:val="28"/>
        </w:rPr>
        <w:t xml:space="preserve"> </w:t>
      </w:r>
      <w:r>
        <w:rPr>
          <w:rFonts w:hint="eastAsia" w:ascii="Times New Roman" w:hAnsi="仿宋" w:eastAsia="仿宋" w:cs="Times New Roman"/>
          <w:b/>
          <w:sz w:val="28"/>
          <w:szCs w:val="28"/>
        </w:rPr>
        <w:t>研究方法</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2.2.1数据来源 利用鄞州区域健康数据库，经安全脱敏后，筛选2008-2020年全部建档人群的性别、年龄、疾病诊断、处方等数据进行分析。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2.2.2 病例纳入标准</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用专家评估法，在数据库中筛选了K76.000等共17种ICD-10编码对应的疾病诊断作为慢性肝病患者纳入标准。由于酒精肝等部分诊断病例数过少，将疾病诊断分为脂肪肝、肝功能损害、其他慢性肝病三类。</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用专家评估法，在数据库中筛选了K74.000等共30种ICD-10编码对应的疾病诊断作为肝硬化预后的纳入标准。在预后分析中，排除中药使用日期晚于肝硬化结局的病例。</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2.2.3 慢性肝病流行情况分析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采用频次分析方法，统计各类慢性肝病就诊患者人数，分别估计性别、年龄别患病率。</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2.2.4 中药处方目录分析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2.2.4.1聚类分析：对使用频次≥10次的药物，按药物性味、归经、功效主治以分层聚类法进行聚类分析。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2.2.4.2关联规则分析：使用Apriori算法描述数据库中数据项之间所存在的关系的规则，开展慢性肝病常见症状及中药治疗分析、慢性肝病常用中草药物及药对配伍规律关联分析。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2.2.5 慢性肝病中药治疗情况分析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采用频次分析方法，统计各类慢性肝病中药治疗人数和比例。采用卡方检验比较使用各类中药组与未使用中药组预后，</w:t>
      </w:r>
      <w:r>
        <w:rPr>
          <w:rFonts w:ascii="Symbol" w:hAnsi="Symbol" w:eastAsia="仿宋" w:cs="Symbol"/>
          <w:sz w:val="28"/>
          <w:szCs w:val="28"/>
        </w:rPr>
        <w:t>。</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2.2.6 数据分析挖掘工具</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2.2.6.1利用SQLServer2008工具等对数据库进行合并、提取、清理并加载成目标数据库。</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2.2.6.2 使用MATLAB 2020b 、R统计软件包进行数据统计分析。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2.2.7 动物验证试验</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建立大鼠肝病模型，针对重点药物开展原理与效果验证。</w:t>
      </w:r>
    </w:p>
    <w:p>
      <w:pPr>
        <w:ind w:firstLine="420" w:firstLineChars="150"/>
        <w:rPr>
          <w:rFonts w:ascii="Times New Roman" w:hAnsi="仿宋" w:eastAsia="仿宋" w:cs="Times New Roman"/>
          <w:sz w:val="28"/>
          <w:szCs w:val="28"/>
        </w:rPr>
      </w:pPr>
    </w:p>
    <w:p>
      <w:pPr>
        <w:widowControl/>
        <w:jc w:val="left"/>
        <w:rPr>
          <w:rFonts w:ascii="Times New Roman" w:hAnsi="黑体" w:eastAsia="黑体" w:cs="Times New Roman"/>
          <w:b/>
          <w:bCs/>
          <w:kern w:val="0"/>
          <w:sz w:val="28"/>
          <w:szCs w:val="28"/>
        </w:rPr>
      </w:pPr>
      <w:r>
        <w:rPr>
          <w:rFonts w:hint="eastAsia" w:ascii="Times New Roman" w:hAnsi="Times New Roman" w:eastAsia="黑体" w:cs="Times New Roman"/>
          <w:b/>
          <w:bCs/>
          <w:kern w:val="0"/>
          <w:sz w:val="28"/>
          <w:szCs w:val="28"/>
        </w:rPr>
        <w:t>3</w:t>
      </w:r>
      <w:r>
        <w:rPr>
          <w:rFonts w:ascii="Times New Roman" w:hAnsi="Times New Roman" w:eastAsia="黑体" w:cs="Times New Roman"/>
          <w:b/>
          <w:bCs/>
          <w:kern w:val="0"/>
          <w:sz w:val="28"/>
          <w:szCs w:val="28"/>
        </w:rPr>
        <w:t xml:space="preserve"> </w:t>
      </w:r>
      <w:r>
        <w:rPr>
          <w:rFonts w:hint="eastAsia" w:ascii="Times New Roman" w:hAnsi="黑体" w:eastAsia="黑体" w:cs="Times New Roman"/>
          <w:b/>
          <w:bCs/>
          <w:kern w:val="0"/>
          <w:sz w:val="28"/>
          <w:szCs w:val="28"/>
        </w:rPr>
        <w:t>结果</w:t>
      </w:r>
    </w:p>
    <w:p>
      <w:pPr>
        <w:ind w:firstLine="420" w:firstLineChars="150"/>
        <w:rPr>
          <w:rFonts w:ascii="Times New Roman" w:hAnsi="仿宋" w:eastAsia="仿宋" w:cs="Times New Roman"/>
          <w:color w:val="0000FF"/>
          <w:sz w:val="28"/>
          <w:szCs w:val="28"/>
        </w:rPr>
      </w:pPr>
      <w:bookmarkStart w:id="0" w:name="_Toc74140808"/>
      <w:r>
        <w:rPr>
          <w:rFonts w:hint="eastAsia" w:ascii="Times New Roman" w:hAnsi="仿宋" w:eastAsia="仿宋" w:cs="Times New Roman"/>
          <w:color w:val="0000FF"/>
          <w:sz w:val="28"/>
          <w:szCs w:val="28"/>
        </w:rPr>
        <w:t xml:space="preserve">3.1  </w:t>
      </w:r>
      <w:bookmarkEnd w:id="0"/>
      <w:r>
        <w:rPr>
          <w:rFonts w:hint="eastAsia" w:ascii="Times New Roman" w:hAnsi="仿宋" w:eastAsia="仿宋" w:cs="Times New Roman"/>
          <w:color w:val="0000FF"/>
          <w:sz w:val="28"/>
          <w:szCs w:val="28"/>
        </w:rPr>
        <w:t>慢性肝病流行情况</w:t>
      </w:r>
    </w:p>
    <w:p>
      <w:pPr>
        <w:ind w:firstLine="420" w:firstLineChars="150"/>
        <w:rPr>
          <w:rFonts w:hint="eastAsia" w:ascii="Times New Roman" w:hAnsi="仿宋" w:eastAsia="仿宋" w:cs="Times New Roman"/>
          <w:color w:val="0000FF"/>
          <w:sz w:val="28"/>
          <w:szCs w:val="28"/>
        </w:rPr>
      </w:pPr>
      <w:r>
        <w:rPr>
          <w:rFonts w:hint="eastAsia" w:ascii="Times New Roman" w:hAnsi="仿宋" w:eastAsia="仿宋" w:cs="Times New Roman"/>
          <w:color w:val="0000FF"/>
          <w:sz w:val="28"/>
          <w:szCs w:val="28"/>
        </w:rPr>
        <w:t xml:space="preserve">3.1.1 </w:t>
      </w:r>
      <w:r>
        <w:rPr>
          <w:rFonts w:hint="eastAsia" w:ascii="Times New Roman" w:hAnsi="仿宋" w:eastAsia="仿宋" w:cs="Times New Roman"/>
          <w:color w:val="0000FF"/>
          <w:sz w:val="28"/>
          <w:szCs w:val="28"/>
          <w:lang w:val="en-US" w:eastAsia="zh-CN"/>
        </w:rPr>
        <w:t>不同年龄段、性别人群</w:t>
      </w:r>
      <w:r>
        <w:rPr>
          <w:rFonts w:hint="eastAsia" w:ascii="Times New Roman" w:hAnsi="仿宋" w:eastAsia="仿宋" w:cs="Times New Roman"/>
          <w:color w:val="0000FF"/>
          <w:sz w:val="28"/>
          <w:szCs w:val="28"/>
        </w:rPr>
        <w:t>患病情况</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2010-2021年宁波市鄞州区医疗数据库共收录</w:t>
      </w:r>
      <w:r>
        <w:rPr>
          <w:rFonts w:hint="default" w:ascii="Times New Roman" w:hAnsi="仿宋" w:eastAsia="仿宋" w:cs="Times New Roman"/>
          <w:color w:val="0000FF"/>
          <w:sz w:val="28"/>
          <w:szCs w:val="28"/>
          <w:lang w:val="en-US" w:eastAsia="zh-CN"/>
        </w:rPr>
        <w:t>786557名患者就诊信息，其中</w:t>
      </w:r>
      <w:r>
        <w:rPr>
          <w:rFonts w:hint="eastAsia" w:ascii="Times New Roman" w:hAnsi="仿宋" w:eastAsia="仿宋" w:cs="Times New Roman"/>
          <w:color w:val="0000FF"/>
          <w:sz w:val="28"/>
          <w:szCs w:val="28"/>
          <w:lang w:val="en-US" w:eastAsia="zh-CN"/>
        </w:rPr>
        <w:t>392858</w:t>
      </w:r>
      <w:r>
        <w:rPr>
          <w:rFonts w:hint="default" w:ascii="Times New Roman" w:hAnsi="仿宋" w:eastAsia="仿宋" w:cs="Times New Roman"/>
          <w:color w:val="0000FF"/>
          <w:sz w:val="28"/>
          <w:szCs w:val="28"/>
          <w:lang w:val="en-US" w:eastAsia="zh-CN"/>
        </w:rPr>
        <w:t>名患者</w:t>
      </w:r>
      <w:r>
        <w:rPr>
          <w:rFonts w:hint="eastAsia" w:ascii="Times New Roman" w:hAnsi="仿宋" w:eastAsia="仿宋" w:cs="Times New Roman"/>
          <w:color w:val="0000FF"/>
          <w:sz w:val="28"/>
          <w:szCs w:val="28"/>
          <w:lang w:val="en-US" w:eastAsia="zh-CN"/>
        </w:rPr>
        <w:t>为男性，393699名患者为女性，男女比为1：1.0021；</w:t>
      </w:r>
      <w:r>
        <w:rPr>
          <w:rFonts w:hint="default" w:ascii="Times New Roman" w:hAnsi="仿宋" w:eastAsia="仿宋" w:cs="Times New Roman"/>
          <w:color w:val="0000FF"/>
          <w:sz w:val="28"/>
          <w:szCs w:val="28"/>
          <w:lang w:val="en-US" w:eastAsia="zh-CN"/>
        </w:rPr>
        <w:t>57273名病人有过肝病就诊记录</w:t>
      </w:r>
      <w:r>
        <w:rPr>
          <w:rFonts w:hint="eastAsia" w:ascii="Times New Roman" w:hAnsi="仿宋" w:eastAsia="仿宋" w:cs="Times New Roman"/>
          <w:color w:val="0000FF"/>
          <w:sz w:val="28"/>
          <w:szCs w:val="28"/>
          <w:lang w:val="en-US" w:eastAsia="zh-CN"/>
        </w:rPr>
        <w:t>，32720名病人为男性，24553名病人为女性，男女比为1：</w:t>
      </w:r>
      <w:r>
        <w:rPr>
          <w:rFonts w:hint="default" w:ascii="Times New Roman" w:hAnsi="仿宋" w:eastAsia="仿宋" w:cs="Times New Roman"/>
          <w:color w:val="0000FF"/>
          <w:sz w:val="28"/>
          <w:szCs w:val="28"/>
          <w:lang w:val="en-US" w:eastAsia="zh-CN"/>
        </w:rPr>
        <w:t>0.7504</w:t>
      </w:r>
      <w:r>
        <w:rPr>
          <w:rFonts w:hint="eastAsia" w:ascii="Times New Roman" w:hAnsi="仿宋" w:eastAsia="仿宋" w:cs="Times New Roman"/>
          <w:color w:val="0000FF"/>
          <w:sz w:val="28"/>
          <w:szCs w:val="28"/>
          <w:lang w:val="en-US" w:eastAsia="zh-CN"/>
        </w:rPr>
        <w:t>；</w:t>
      </w:r>
      <w:r>
        <w:rPr>
          <w:rFonts w:hint="default" w:ascii="Times New Roman" w:hAnsi="仿宋" w:eastAsia="仿宋" w:cs="Times New Roman"/>
          <w:color w:val="0000FF"/>
          <w:sz w:val="28"/>
          <w:szCs w:val="28"/>
          <w:lang w:val="en-US" w:eastAsia="zh-CN"/>
        </w:rPr>
        <w:t>这期间肝病病人的累计就诊率为7.28%</w:t>
      </w:r>
      <w:r>
        <w:rPr>
          <w:rFonts w:hint="eastAsia" w:ascii="Times New Roman" w:hAnsi="仿宋" w:eastAsia="仿宋" w:cs="Times New Roman"/>
          <w:color w:val="0000FF"/>
          <w:sz w:val="28"/>
          <w:szCs w:val="28"/>
          <w:lang w:val="en-US" w:eastAsia="zh-CN"/>
        </w:rPr>
        <w:t>，男性就诊率为8.33%，女性就诊率为6.24%。</w:t>
      </w:r>
      <w:r>
        <w:rPr>
          <w:rFonts w:hint="eastAsia" w:ascii="Times New Roman" w:hAnsi="仿宋" w:eastAsia="仿宋" w:cs="Times New Roman"/>
          <w:color w:val="0000FF"/>
          <w:sz w:val="28"/>
          <w:szCs w:val="28"/>
        </w:rPr>
        <w:t>（表1）</w:t>
      </w:r>
    </w:p>
    <w:p>
      <w:pPr>
        <w:widowControl w:val="0"/>
        <w:numPr>
          <w:ilvl w:val="0"/>
          <w:numId w:val="0"/>
        </w:numPr>
        <w:ind w:firstLine="420" w:firstLineChars="200"/>
        <w:jc w:val="both"/>
        <w:rPr>
          <w:rFonts w:hint="eastAsia"/>
          <w:color w:val="0000FF"/>
          <w:lang w:val="en-US" w:eastAsia="zh-CN"/>
        </w:rPr>
      </w:pPr>
    </w:p>
    <w:tbl>
      <w:tblPr>
        <w:tblStyle w:val="12"/>
        <w:tblW w:w="8129" w:type="dxa"/>
        <w:jc w:val="center"/>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Layout w:type="autofit"/>
        <w:tblCellMar>
          <w:top w:w="0" w:type="dxa"/>
          <w:left w:w="108" w:type="dxa"/>
          <w:bottom w:w="0" w:type="dxa"/>
          <w:right w:w="108" w:type="dxa"/>
        </w:tblCellMar>
      </w:tblPr>
      <w:tblGrid>
        <w:gridCol w:w="1960"/>
        <w:gridCol w:w="1960"/>
        <w:gridCol w:w="1960"/>
        <w:gridCol w:w="2249"/>
      </w:tblGrid>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患者年龄</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发病人数</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占总发病人数比例</w:t>
            </w:r>
          </w:p>
        </w:tc>
        <w:tc>
          <w:tcPr>
            <w:tcW w:w="2249"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同年龄就诊人群占比*</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0~10岁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90</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0.277%</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4.125%</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10~20岁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212</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2.732%</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0.987%</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20~30岁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1883</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12.432%</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1.926%</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30~40岁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7427</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12.572%</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7.511%</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40~50岁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11433</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16.521%</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8.798%</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50~60岁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14371</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14.622%</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12.495%</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60~70岁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13446</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25.781%</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6.631%</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70~80岁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5964</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12.918%</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5.869%</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80~90岁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2161</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2.078%</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13.221%</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大于90岁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285</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0.066%</w:t>
            </w:r>
          </w:p>
        </w:tc>
        <w:tc>
          <w:tcPr>
            <w:tcW w:w="2249" w:type="dxa"/>
            <w:tcBorders>
              <w:tl2br w:val="nil"/>
              <w:tr2bl w:val="nil"/>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55.233%</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4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总计</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57273</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100.00%</w:t>
            </w:r>
          </w:p>
        </w:tc>
        <w:tc>
          <w:tcPr>
            <w:tcW w:w="2249" w:type="dxa"/>
            <w:tcBorders>
              <w:tl2br w:val="nil"/>
              <w:tr2bl w:val="nil"/>
            </w:tcBorders>
          </w:tcPr>
          <w:p>
            <w:pPr>
              <w:widowControl w:val="0"/>
              <w:numPr>
                <w:ilvl w:val="0"/>
                <w:numId w:val="0"/>
              </w:numPr>
              <w:jc w:val="center"/>
              <w:rPr>
                <w:rFonts w:hint="eastAsia"/>
                <w:color w:val="0000FF"/>
                <w:vertAlign w:val="baseline"/>
                <w:lang w:val="en-US" w:eastAsia="zh-CN"/>
              </w:rPr>
            </w:pPr>
          </w:p>
        </w:tc>
      </w:tr>
    </w:tbl>
    <w:p>
      <w:pPr>
        <w:widowControl w:val="0"/>
        <w:numPr>
          <w:ilvl w:val="0"/>
          <w:numId w:val="0"/>
        </w:numPr>
        <w:jc w:val="both"/>
        <w:rPr>
          <w:rFonts w:hint="eastAsia"/>
          <w:color w:val="0000FF"/>
          <w:lang w:val="en-US" w:eastAsia="zh-CN"/>
        </w:rPr>
      </w:pPr>
      <w:r>
        <w:rPr>
          <w:rFonts w:hint="eastAsia"/>
          <w:color w:val="0000FF"/>
          <w:lang w:val="en-US" w:eastAsia="zh-CN"/>
        </w:rPr>
        <w:t xml:space="preserve"> </w:t>
      </w:r>
    </w:p>
    <w:p>
      <w:pPr>
        <w:pStyle w:val="4"/>
        <w:widowControl w:val="0"/>
        <w:numPr>
          <w:ilvl w:val="0"/>
          <w:numId w:val="0"/>
        </w:numPr>
        <w:jc w:val="center"/>
        <w:rPr>
          <w:rFonts w:hint="default"/>
          <w:color w:val="0000FF"/>
          <w:lang w:val="en-US" w:eastAsia="zh-CN"/>
        </w:rPr>
      </w:pPr>
      <w:r>
        <w:rPr>
          <w:rFonts w:hint="eastAsia"/>
          <w:color w:val="0000FF"/>
          <w:lang w:val="en-US" w:eastAsia="zh-CN"/>
        </w:rPr>
        <w:t>表1 2010-2021年肝病就诊病人年龄分布</w:t>
      </w:r>
    </w:p>
    <w:p>
      <w:pPr>
        <w:widowControl w:val="0"/>
        <w:numPr>
          <w:ilvl w:val="0"/>
          <w:numId w:val="0"/>
        </w:numPr>
        <w:jc w:val="both"/>
        <w:rPr>
          <w:rFonts w:hint="default"/>
          <w:color w:val="0000FF"/>
          <w:lang w:val="en-US" w:eastAsia="zh-CN"/>
        </w:rPr>
      </w:pPr>
    </w:p>
    <w:tbl>
      <w:tblPr>
        <w:tblStyle w:val="12"/>
        <w:tblW w:w="0" w:type="auto"/>
        <w:jc w:val="center"/>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Layout w:type="autofit"/>
        <w:tblCellMar>
          <w:top w:w="0" w:type="dxa"/>
          <w:left w:w="108" w:type="dxa"/>
          <w:bottom w:w="0" w:type="dxa"/>
          <w:right w:w="108" w:type="dxa"/>
        </w:tblCellMar>
      </w:tblPr>
      <w:tblGrid>
        <w:gridCol w:w="1960"/>
        <w:gridCol w:w="1960"/>
        <w:gridCol w:w="1960"/>
      </w:tblGrid>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患者年龄</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发病人数</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占总发病人数比例</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0~10岁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61</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0.186%</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10~20岁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169</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0.517%</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20~30岁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1101</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3.365%</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30~40岁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4705</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14.380%</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40~50岁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7376</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22.543%</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50~60岁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8071</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24.667%</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60~70岁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6989</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21.360%</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70~80岁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3005</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9.184%</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80~90岁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1100</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3.362%</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大于90岁</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143</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0.437%</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4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总计</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32720</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100.00%</w:t>
            </w:r>
          </w:p>
        </w:tc>
      </w:tr>
    </w:tbl>
    <w:p>
      <w:pPr>
        <w:pStyle w:val="4"/>
        <w:widowControl w:val="0"/>
        <w:numPr>
          <w:ilvl w:val="0"/>
          <w:numId w:val="0"/>
        </w:numPr>
        <w:jc w:val="center"/>
        <w:rPr>
          <w:rFonts w:hint="default"/>
          <w:color w:val="0000FF"/>
          <w:lang w:val="en-US" w:eastAsia="zh-CN"/>
        </w:rPr>
      </w:pPr>
      <w:r>
        <w:rPr>
          <w:rFonts w:hint="eastAsia"/>
          <w:color w:val="0000FF"/>
          <w:lang w:val="en-US" w:eastAsia="zh-CN"/>
        </w:rPr>
        <w:t>表2 2010-2021年肝病就诊男性病人年龄分布</w:t>
      </w:r>
    </w:p>
    <w:tbl>
      <w:tblPr>
        <w:tblStyle w:val="12"/>
        <w:tblW w:w="0" w:type="auto"/>
        <w:jc w:val="center"/>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Layout w:type="autofit"/>
        <w:tblCellMar>
          <w:top w:w="0" w:type="dxa"/>
          <w:left w:w="108" w:type="dxa"/>
          <w:bottom w:w="0" w:type="dxa"/>
          <w:right w:w="108" w:type="dxa"/>
        </w:tblCellMar>
      </w:tblPr>
      <w:tblGrid>
        <w:gridCol w:w="1960"/>
        <w:gridCol w:w="1960"/>
        <w:gridCol w:w="1960"/>
      </w:tblGrid>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患者年龄</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发病人数</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占总发病人数比例</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0~10岁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29</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0.118%</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10~20岁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43</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0.175%</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20~30岁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782</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3.185%</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30~40岁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2722</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11.086%</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40~50岁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4057</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16.523%</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50~60岁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6300</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25.659%</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60~70岁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6457</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26.298%</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70~80岁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2959</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12.051%</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80~90岁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1061</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4.321%</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大于90岁</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142</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0.578%</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41" w:hRule="atLeast"/>
          <w:jc w:val="center"/>
        </w:trPr>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总计</w:t>
            </w:r>
          </w:p>
        </w:tc>
        <w:tc>
          <w:tcPr>
            <w:tcW w:w="1960" w:type="dxa"/>
            <w:tcBorders>
              <w:tl2br w:val="nil"/>
              <w:tr2bl w:val="nil"/>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24553</w:t>
            </w:r>
          </w:p>
        </w:tc>
        <w:tc>
          <w:tcPr>
            <w:tcW w:w="1960" w:type="dxa"/>
            <w:tcBorders>
              <w:tl2br w:val="nil"/>
              <w:tr2bl w:val="nil"/>
            </w:tcBorders>
            <w:vAlign w:val="center"/>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w:t>
            </w:r>
          </w:p>
        </w:tc>
      </w:tr>
    </w:tbl>
    <w:p>
      <w:pPr>
        <w:pStyle w:val="4"/>
        <w:widowControl w:val="0"/>
        <w:numPr>
          <w:ilvl w:val="0"/>
          <w:numId w:val="0"/>
        </w:numPr>
        <w:jc w:val="center"/>
        <w:rPr>
          <w:rFonts w:hint="default"/>
          <w:color w:val="0000FF"/>
          <w:lang w:val="en-US" w:eastAsia="zh-CN"/>
        </w:rPr>
      </w:pPr>
      <w:r>
        <w:rPr>
          <w:rFonts w:hint="eastAsia"/>
          <w:color w:val="0000FF"/>
          <w:lang w:val="en-US" w:eastAsia="zh-CN"/>
        </w:rPr>
        <w:t>表3 2010-2021年肝病就诊女性性病人年龄分布</w:t>
      </w:r>
    </w:p>
    <w:p>
      <w:pPr>
        <w:widowControl w:val="0"/>
        <w:numPr>
          <w:ilvl w:val="0"/>
          <w:numId w:val="0"/>
        </w:numPr>
        <w:jc w:val="both"/>
        <w:rPr>
          <w:rFonts w:hint="default"/>
          <w:b/>
          <w:bCs/>
          <w:color w:val="0000FF"/>
          <w:sz w:val="15"/>
          <w:szCs w:val="15"/>
          <w:lang w:val="en-US" w:eastAsia="zh-CN"/>
        </w:rPr>
      </w:pPr>
      <w:r>
        <w:rPr>
          <w:rFonts w:hint="eastAsia"/>
          <w:color w:val="0000FF"/>
          <w:lang w:val="en-US" w:eastAsia="zh-CN"/>
        </w:rPr>
        <w:t>*</w:t>
      </w:r>
      <w:r>
        <w:rPr>
          <w:rFonts w:hint="eastAsia"/>
          <w:b/>
          <w:bCs/>
          <w:color w:val="0000FF"/>
          <w:sz w:val="15"/>
          <w:szCs w:val="15"/>
          <w:lang w:val="en-US" w:eastAsia="zh-CN"/>
        </w:rPr>
        <w:t>指该年龄段肝病发病人数/该年龄段总就诊人数</w:t>
      </w:r>
    </w:p>
    <w:p>
      <w:pPr>
        <w:pStyle w:val="4"/>
        <w:jc w:val="center"/>
        <w:rPr>
          <w:rFonts w:hint="eastAsia" w:ascii="Times New Roman" w:hAnsi="Times New Roman" w:eastAsia="宋体"/>
          <w:color w:val="0000FF"/>
          <w:sz w:val="21"/>
          <w:szCs w:val="21"/>
        </w:rPr>
      </w:pPr>
    </w:p>
    <w:p>
      <w:pPr>
        <w:ind w:firstLine="420" w:firstLineChars="150"/>
        <w:rPr>
          <w:rFonts w:ascii="Times New Roman" w:hAnsi="仿宋" w:eastAsia="仿宋" w:cs="Times New Roman"/>
          <w:color w:val="0000FF"/>
          <w:sz w:val="28"/>
          <w:szCs w:val="28"/>
        </w:rPr>
      </w:pPr>
      <w:r>
        <w:rPr>
          <w:rFonts w:hint="eastAsia" w:ascii="Times New Roman" w:hAnsi="仿宋" w:eastAsia="仿宋" w:cs="Times New Roman"/>
          <w:color w:val="0000FF"/>
          <w:sz w:val="28"/>
          <w:szCs w:val="28"/>
          <w:lang w:val="en-US" w:eastAsia="zh-CN"/>
        </w:rPr>
        <w:t>从表格可以看出，总体而言，肝病就诊人数呈“上大下少”分布，即年龄越大，肝病发病人数越多，具体而言，肝病就诊人数从出生开始到50--70岁年龄段到达顶峰，50-60岁年龄段的男性就诊人数达到了8071人，女性为6300人，均超过了6000人，之后快速下降，90岁以上年龄段的就诊病人已经十分稀少。从男女性病人的对比分析来看，男性肝病就诊人数在各个年龄段均高于女性，在60岁以前，男性肝病就诊人数显著高于女性，60岁以后，男女肝病就诊人数逐渐趋平。这可能与男性不良生活习惯（如吸烟、喝酒）较女性多，从而导致了较大的肝损害有关。此外，70岁以后男女肝病就诊人数差异不明显可能与女性寿命较男性长，高龄人口女性多于男性从而导致显著的人口基数差异有关。</w:t>
      </w:r>
    </w:p>
    <w:p>
      <w:pPr>
        <w:ind w:firstLine="420" w:firstLineChars="150"/>
        <w:rPr>
          <w:rFonts w:hint="eastAsia" w:ascii="Times New Roman" w:hAnsi="仿宋" w:eastAsia="仿宋" w:cs="Times New Roman"/>
          <w:color w:val="0000FF"/>
          <w:sz w:val="28"/>
          <w:szCs w:val="28"/>
        </w:rPr>
      </w:pPr>
      <w:r>
        <w:rPr>
          <w:rFonts w:hint="eastAsia" w:ascii="Times New Roman" w:hAnsi="仿宋" w:eastAsia="仿宋" w:cs="Times New Roman"/>
          <w:color w:val="0000FF"/>
          <w:sz w:val="28"/>
          <w:szCs w:val="28"/>
        </w:rPr>
        <w:t xml:space="preserve">3.1.2 </w:t>
      </w:r>
      <w:r>
        <w:rPr>
          <w:rFonts w:hint="eastAsia" w:ascii="Times New Roman" w:hAnsi="仿宋" w:eastAsia="仿宋" w:cs="Times New Roman"/>
          <w:color w:val="0000FF"/>
          <w:sz w:val="28"/>
          <w:szCs w:val="28"/>
          <w:lang w:val="en-US" w:eastAsia="zh-CN"/>
        </w:rPr>
        <w:t>不同年份</w:t>
      </w:r>
      <w:r>
        <w:rPr>
          <w:rFonts w:hint="eastAsia" w:ascii="Times New Roman" w:hAnsi="仿宋" w:eastAsia="仿宋" w:cs="Times New Roman"/>
          <w:color w:val="0000FF"/>
          <w:sz w:val="28"/>
          <w:szCs w:val="28"/>
        </w:rPr>
        <w:t>患病情况</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进一步分析具体年份肝病就诊情况，2010-2021年每年的肝病就诊记录数及肝病病人数如下表所示（表4）：</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2476"/>
        <w:gridCol w:w="2476"/>
        <w:gridCol w:w="24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09" w:type="dxa"/>
            <w:tcBorders>
              <w:top w:val="single" w:color="auto" w:sz="18" w:space="0"/>
              <w:left w:val="single" w:color="FFFFFF" w:themeColor="background1" w:sz="2" w:space="0"/>
              <w:bottom w:val="single" w:color="auto" w:sz="2" w:space="0"/>
              <w:right w:val="single" w:color="FFFFFF" w:themeColor="background1" w:sz="2" w:space="0"/>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年份</w:t>
            </w:r>
          </w:p>
        </w:tc>
        <w:tc>
          <w:tcPr>
            <w:tcW w:w="2476" w:type="dxa"/>
            <w:tcBorders>
              <w:top w:val="single" w:color="auto" w:sz="18" w:space="0"/>
              <w:left w:val="single" w:color="FFFFFF" w:themeColor="background1" w:sz="2" w:space="0"/>
              <w:bottom w:val="single" w:color="auto" w:sz="2" w:space="0"/>
              <w:right w:val="single" w:color="FFFFFF" w:themeColor="background1" w:sz="2" w:space="0"/>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就诊记录数量（条）</w:t>
            </w:r>
          </w:p>
        </w:tc>
        <w:tc>
          <w:tcPr>
            <w:tcW w:w="2476" w:type="dxa"/>
            <w:tcBorders>
              <w:top w:val="single" w:color="auto" w:sz="18" w:space="0"/>
              <w:left w:val="single" w:color="FFFFFF" w:themeColor="background1" w:sz="2" w:space="0"/>
              <w:bottom w:val="single" w:color="auto" w:sz="2" w:space="0"/>
              <w:right w:val="single" w:color="FFFFFF" w:themeColor="background1" w:sz="2" w:space="0"/>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就诊病人数</w:t>
            </w:r>
          </w:p>
        </w:tc>
        <w:tc>
          <w:tcPr>
            <w:tcW w:w="2476" w:type="dxa"/>
            <w:tcBorders>
              <w:top w:val="single" w:color="auto" w:sz="18" w:space="0"/>
              <w:left w:val="single" w:color="FFFFFF" w:themeColor="background1" w:sz="2" w:space="0"/>
              <w:bottom w:val="single" w:color="auto" w:sz="2" w:space="0"/>
              <w:right w:val="single" w:color="FFFFFF" w:themeColor="background1" w:sz="2" w:space="0"/>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人均就诊次数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009" w:type="dxa"/>
            <w:tcBorders>
              <w:top w:val="single" w:color="auto" w:sz="2" w:space="0"/>
              <w:left w:val="single" w:color="FFFFFF" w:themeColor="background1" w:sz="2" w:space="0"/>
              <w:bottom w:val="single" w:color="auto" w:sz="18" w:space="0"/>
              <w:right w:val="single" w:color="auto" w:sz="2" w:space="0"/>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2010</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2011</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2012</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2013</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2014</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2015</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2016</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2017</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2018</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2019</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2020</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2021</w:t>
            </w:r>
          </w:p>
        </w:tc>
        <w:tc>
          <w:tcPr>
            <w:tcW w:w="2476" w:type="dxa"/>
            <w:tcBorders>
              <w:top w:val="single" w:color="auto" w:sz="2" w:space="0"/>
              <w:left w:val="single" w:color="auto" w:sz="2" w:space="0"/>
              <w:bottom w:val="single" w:color="auto" w:sz="18" w:space="0"/>
              <w:right w:val="single" w:color="auto" w:sz="2" w:space="0"/>
            </w:tcBorders>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22972</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43020</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64402</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95475</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81614</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83238</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120517</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197672</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142309</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160135</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117277</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124598</w:t>
            </w:r>
          </w:p>
        </w:tc>
        <w:tc>
          <w:tcPr>
            <w:tcW w:w="2476" w:type="dxa"/>
            <w:tcBorders>
              <w:top w:val="single" w:color="auto" w:sz="2" w:space="0"/>
              <w:left w:val="single" w:color="auto" w:sz="2" w:space="0"/>
              <w:bottom w:val="single" w:color="auto" w:sz="18" w:space="0"/>
              <w:right w:val="single" w:color="auto" w:sz="2" w:space="0"/>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7215</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11198</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14688</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18151</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17208</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17654</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22284</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27257</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21753</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23795</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19612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20326 </w:t>
            </w:r>
          </w:p>
        </w:tc>
        <w:tc>
          <w:tcPr>
            <w:tcW w:w="2476" w:type="dxa"/>
            <w:tcBorders>
              <w:top w:val="single" w:color="auto" w:sz="2" w:space="0"/>
              <w:left w:val="single" w:color="auto" w:sz="2" w:space="0"/>
              <w:bottom w:val="single" w:color="auto" w:sz="18" w:space="0"/>
              <w:right w:val="single" w:color="FFFFFF" w:themeColor="background1" w:sz="2" w:space="0"/>
            </w:tcBorders>
            <w:vAlign w:val="center"/>
          </w:tcPr>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3.18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3.84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4.38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5.26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4.74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4.71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5.41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7.25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6.54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 xml:space="preserve">6.73 </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5.98</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6.13</w:t>
            </w:r>
          </w:p>
        </w:tc>
      </w:tr>
    </w:tbl>
    <w:p>
      <w:pPr>
        <w:pStyle w:val="4"/>
        <w:widowControl w:val="0"/>
        <w:numPr>
          <w:ilvl w:val="0"/>
          <w:numId w:val="0"/>
        </w:numPr>
        <w:jc w:val="center"/>
        <w:rPr>
          <w:rFonts w:hint="eastAsia"/>
          <w:color w:val="0000FF"/>
          <w:lang w:val="en-US" w:eastAsia="zh-CN"/>
        </w:rPr>
      </w:pPr>
      <w:r>
        <w:rPr>
          <w:rFonts w:hint="eastAsia"/>
          <w:color w:val="0000FF"/>
          <w:lang w:val="en-US" w:eastAsia="zh-CN"/>
        </w:rPr>
        <w:t>表4 不同年龄段男女肝病就诊人数分布图年龄分布</w:t>
      </w:r>
    </w:p>
    <w:p>
      <w:pPr>
        <w:rPr>
          <w:rFonts w:hint="default" w:ascii="Times New Roman" w:hAnsi="仿宋" w:eastAsia="仿宋" w:cs="Times New Roman"/>
          <w:color w:val="0000FF"/>
          <w:sz w:val="28"/>
          <w:szCs w:val="28"/>
          <w:lang w:val="en-US" w:eastAsia="zh-CN"/>
        </w:rPr>
      </w:pPr>
      <w:r>
        <w:rPr>
          <w:rFonts w:hint="eastAsia"/>
          <w:color w:val="0000FF"/>
          <w:lang w:val="en-US" w:eastAsia="zh-CN"/>
        </w:rPr>
        <w:t xml:space="preserve">     </w:t>
      </w:r>
      <w:r>
        <w:rPr>
          <w:rFonts w:hint="eastAsia" w:ascii="Times New Roman" w:hAnsi="仿宋" w:eastAsia="仿宋" w:cs="Times New Roman"/>
          <w:color w:val="0000FF"/>
          <w:sz w:val="28"/>
          <w:szCs w:val="28"/>
          <w:lang w:val="en-US" w:eastAsia="zh-CN"/>
        </w:rPr>
        <w:t>从表中可以看到，自2010年至2021年该地区肝病就诊记录数量、就诊人数总体显著上升，从2010年最低的22972条就诊记录条数和7215名就诊病人上升至2017年最高的197672条就诊记录条数和27257名就诊病人，而2018年、2020年的就诊量均自上一年有了明显的下降，考虑到2020年开始的新型冠状病毒疫情的蔓延，这可能是影响就诊量的一个重要因素。此外，自2010年至2021年，肝病的人均就诊人数也从3.18次上升至最高的7.25次，这表明人们的就诊意识、经济条件等都有了极大的提高，同时这也可能是由于老龄人口群体比例增加所致。</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rPr>
        <w:t>3.1.</w:t>
      </w:r>
      <w:r>
        <w:rPr>
          <w:rFonts w:hint="eastAsia" w:ascii="Times New Roman" w:hAnsi="仿宋" w:eastAsia="仿宋" w:cs="Times New Roman"/>
          <w:color w:val="0000FF"/>
          <w:sz w:val="28"/>
          <w:szCs w:val="28"/>
          <w:lang w:val="en-US" w:eastAsia="zh-CN"/>
        </w:rPr>
        <w:t>3</w:t>
      </w:r>
      <w:r>
        <w:rPr>
          <w:rFonts w:hint="eastAsia" w:ascii="Times New Roman" w:hAnsi="仿宋" w:eastAsia="仿宋" w:cs="Times New Roman"/>
          <w:color w:val="0000FF"/>
          <w:sz w:val="28"/>
          <w:szCs w:val="28"/>
        </w:rPr>
        <w:t xml:space="preserve"> </w:t>
      </w:r>
      <w:r>
        <w:rPr>
          <w:rFonts w:hint="eastAsia" w:ascii="Times New Roman" w:hAnsi="仿宋" w:eastAsia="仿宋" w:cs="Times New Roman"/>
          <w:color w:val="0000FF"/>
          <w:sz w:val="28"/>
          <w:szCs w:val="28"/>
          <w:lang w:val="en-US" w:eastAsia="zh-CN"/>
        </w:rPr>
        <w:t>各类肝病就诊人数对比</w:t>
      </w:r>
    </w:p>
    <w:p>
      <w:pPr>
        <w:ind w:firstLine="420" w:firstLineChars="150"/>
        <w:rPr>
          <w:rFonts w:hint="default"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2010-2021年发病的各类肝病中慢性肝炎发病占比最高，达38.31%（表5）。</w:t>
      </w:r>
    </w:p>
    <w:tbl>
      <w:tblPr>
        <w:tblStyle w:val="12"/>
        <w:tblW w:w="7846" w:type="dxa"/>
        <w:jc w:val="center"/>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Layout w:type="autofit"/>
        <w:tblCellMar>
          <w:top w:w="0" w:type="dxa"/>
          <w:left w:w="108" w:type="dxa"/>
          <w:bottom w:w="0" w:type="dxa"/>
          <w:right w:w="108" w:type="dxa"/>
        </w:tblCellMar>
      </w:tblPr>
      <w:tblGrid>
        <w:gridCol w:w="1571"/>
        <w:gridCol w:w="2825"/>
        <w:gridCol w:w="1725"/>
        <w:gridCol w:w="1725"/>
      </w:tblGrid>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331" w:hRule="atLeast"/>
          <w:jc w:val="center"/>
        </w:trPr>
        <w:tc>
          <w:tcPr>
            <w:tcW w:w="1571" w:type="dxa"/>
            <w:tcBorders>
              <w:top w:val="single" w:color="auto" w:sz="18" w:space="0"/>
              <w:left w:val="single" w:color="FFFFFF" w:themeColor="background1" w:sz="2" w:space="0"/>
              <w:bottom w:val="single" w:color="auto" w:sz="2" w:space="0"/>
              <w:right w:val="single" w:color="auto"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序号</w:t>
            </w:r>
          </w:p>
        </w:tc>
        <w:tc>
          <w:tcPr>
            <w:tcW w:w="2825" w:type="dxa"/>
            <w:tcBorders>
              <w:top w:val="single" w:color="auto" w:sz="18" w:space="0"/>
              <w:left w:val="single" w:color="auto" w:sz="2" w:space="0"/>
              <w:bottom w:val="single" w:color="auto" w:sz="2" w:space="0"/>
              <w:right w:val="single" w:color="auto"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Icd编码</w:t>
            </w:r>
          </w:p>
        </w:tc>
        <w:tc>
          <w:tcPr>
            <w:tcW w:w="1725" w:type="dxa"/>
            <w:tcBorders>
              <w:top w:val="single" w:color="auto" w:sz="18" w:space="0"/>
              <w:left w:val="single" w:color="auto" w:sz="2" w:space="0"/>
              <w:bottom w:val="single" w:color="auto" w:sz="2" w:space="0"/>
              <w:right w:val="single" w:color="FFFFFF" w:themeColor="background1"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肝病类型</w:t>
            </w:r>
          </w:p>
        </w:tc>
        <w:tc>
          <w:tcPr>
            <w:tcW w:w="1725" w:type="dxa"/>
            <w:tcBorders>
              <w:top w:val="single" w:color="auto" w:sz="18" w:space="0"/>
              <w:left w:val="single" w:color="auto" w:sz="2" w:space="0"/>
              <w:bottom w:val="single" w:color="auto" w:sz="2" w:space="0"/>
              <w:right w:val="single" w:color="FFFFFF" w:themeColor="background1"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发病占比</w:t>
            </w:r>
          </w:p>
        </w:tc>
      </w:tr>
      <w:tr>
        <w:tblPrEx>
          <w:tblBorders>
            <w:top w:val="thinThickSmallGap" w:color="auto" w:sz="24" w:space="0"/>
            <w:left w:val="none" w:color="auto" w:sz="0" w:space="0"/>
            <w:bottom w:val="thickThinSmallGap" w:color="auto" w:sz="24" w:space="0"/>
            <w:right w:val="none" w:color="auto" w:sz="0" w:space="0"/>
            <w:insideH w:val="dotDotDash" w:color="auto" w:sz="4" w:space="0"/>
            <w:insideV w:val="double" w:color="auto" w:sz="4" w:space="0"/>
          </w:tblBorders>
          <w:tblCellMar>
            <w:top w:w="0" w:type="dxa"/>
            <w:left w:w="108" w:type="dxa"/>
            <w:bottom w:w="0" w:type="dxa"/>
            <w:right w:w="108" w:type="dxa"/>
          </w:tblCellMar>
        </w:tblPrEx>
        <w:trPr>
          <w:trHeight w:val="1752" w:hRule="atLeast"/>
          <w:jc w:val="center"/>
        </w:trPr>
        <w:tc>
          <w:tcPr>
            <w:tcW w:w="1571" w:type="dxa"/>
            <w:tcBorders>
              <w:top w:val="single" w:color="auto" w:sz="2" w:space="0"/>
              <w:left w:val="single" w:color="FFFFFF" w:themeColor="background1" w:sz="2" w:space="0"/>
              <w:bottom w:val="single" w:color="auto" w:sz="18" w:space="0"/>
              <w:right w:val="single" w:color="auto" w:sz="2" w:space="0"/>
            </w:tcBorders>
            <w:vAlign w:val="top"/>
          </w:tcPr>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1</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2</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3</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4</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5</w:t>
            </w:r>
          </w:p>
        </w:tc>
        <w:tc>
          <w:tcPr>
            <w:tcW w:w="2825" w:type="dxa"/>
            <w:tcBorders>
              <w:top w:val="single" w:color="auto" w:sz="2" w:space="0"/>
              <w:left w:val="single" w:color="auto" w:sz="2" w:space="0"/>
              <w:bottom w:val="single" w:color="auto" w:sz="18" w:space="0"/>
              <w:right w:val="single" w:color="auto" w:sz="2" w:space="0"/>
            </w:tcBorders>
            <w:vAlign w:val="top"/>
          </w:tcPr>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R94.501</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B18.100/101、B18.900*021</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K73.200/K73.200*2</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C22.900</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w:t>
            </w:r>
          </w:p>
        </w:tc>
        <w:tc>
          <w:tcPr>
            <w:tcW w:w="1725" w:type="dxa"/>
            <w:tcBorders>
              <w:top w:val="single" w:color="auto" w:sz="2" w:space="0"/>
              <w:left w:val="single" w:color="auto" w:sz="2" w:space="0"/>
              <w:bottom w:val="single" w:color="auto" w:sz="18" w:space="0"/>
              <w:right w:val="single" w:color="auto" w:sz="2" w:space="0"/>
            </w:tcBorders>
            <w:vAlign w:val="top"/>
          </w:tcPr>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肝功能异常</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慢性肝炎</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慢性活动性肝炎</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肝恶性肿瘤</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其他</w:t>
            </w:r>
          </w:p>
        </w:tc>
        <w:tc>
          <w:tcPr>
            <w:tcW w:w="1725" w:type="dxa"/>
            <w:tcBorders>
              <w:top w:val="single" w:color="auto" w:sz="2" w:space="0"/>
              <w:left w:val="single" w:color="auto" w:sz="2" w:space="0"/>
              <w:bottom w:val="single" w:color="auto" w:sz="18" w:space="0"/>
              <w:right w:val="single" w:color="FFFFFF" w:themeColor="background1" w:sz="2" w:space="0"/>
            </w:tcBorders>
            <w:vAlign w:val="top"/>
          </w:tcPr>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38.31%</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34.48%</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18.87%</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3.77%</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4.67%</w:t>
            </w:r>
          </w:p>
        </w:tc>
      </w:tr>
    </w:tbl>
    <w:p>
      <w:pPr>
        <w:pStyle w:val="4"/>
        <w:widowControl w:val="0"/>
        <w:numPr>
          <w:ilvl w:val="0"/>
          <w:numId w:val="0"/>
        </w:numPr>
        <w:jc w:val="center"/>
        <w:rPr>
          <w:rFonts w:hint="default"/>
          <w:color w:val="0000FF"/>
          <w:lang w:val="en-US" w:eastAsia="zh-CN"/>
        </w:rPr>
      </w:pPr>
      <w:r>
        <w:rPr>
          <w:rFonts w:hint="eastAsia"/>
          <w:color w:val="0000FF"/>
          <w:lang w:val="en-US" w:eastAsia="zh-CN"/>
        </w:rPr>
        <w:t>表5 各类肝病icd编码情况</w:t>
      </w:r>
    </w:p>
    <w:p>
      <w:pPr>
        <w:ind w:firstLine="420" w:firstLineChars="150"/>
        <w:rPr>
          <w:rFonts w:hint="default" w:ascii="Times New Roman" w:hAnsi="仿宋" w:eastAsia="仿宋" w:cs="Times New Roman"/>
          <w:sz w:val="28"/>
          <w:szCs w:val="28"/>
          <w:lang w:val="en-US" w:eastAsia="zh-CN"/>
        </w:rPr>
      </w:pP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 xml:space="preserve">3.2  </w:t>
      </w:r>
      <w:r>
        <w:rPr>
          <w:rFonts w:ascii="Times New Roman" w:hAnsi="仿宋" w:eastAsia="仿宋" w:cs="Times New Roman"/>
          <w:sz w:val="28"/>
          <w:szCs w:val="28"/>
        </w:rPr>
        <w:t>区域</w:t>
      </w:r>
      <w:r>
        <w:rPr>
          <w:rFonts w:hint="eastAsia" w:ascii="Times New Roman" w:hAnsi="仿宋" w:eastAsia="仿宋" w:cs="Times New Roman"/>
          <w:sz w:val="28"/>
          <w:szCs w:val="28"/>
        </w:rPr>
        <w:t>中药处方</w:t>
      </w:r>
      <w:r>
        <w:rPr>
          <w:rFonts w:ascii="Times New Roman" w:hAnsi="仿宋" w:eastAsia="仿宋" w:cs="Times New Roman"/>
          <w:sz w:val="28"/>
          <w:szCs w:val="28"/>
        </w:rPr>
        <w:t>目录分析</w:t>
      </w:r>
    </w:p>
    <w:p>
      <w:pPr>
        <w:ind w:firstLine="420" w:firstLineChars="150"/>
        <w:rPr>
          <w:rFonts w:ascii="Times New Roman" w:hAnsi="仿宋" w:eastAsia="仿宋" w:cs="Times New Roman"/>
          <w:sz w:val="28"/>
          <w:szCs w:val="28"/>
        </w:rPr>
      </w:pPr>
      <w:bookmarkStart w:id="1" w:name="_Toc74140809"/>
      <w:r>
        <w:rPr>
          <w:rFonts w:hint="eastAsia" w:ascii="Times New Roman" w:hAnsi="仿宋" w:eastAsia="仿宋" w:cs="Times New Roman"/>
          <w:sz w:val="28"/>
          <w:szCs w:val="28"/>
        </w:rPr>
        <w:t>3.2.1 区域中药处方目录</w:t>
      </w:r>
      <w:r>
        <w:rPr>
          <w:rFonts w:ascii="Times New Roman" w:hAnsi="仿宋" w:eastAsia="仿宋" w:cs="Times New Roman"/>
          <w:sz w:val="28"/>
          <w:szCs w:val="28"/>
        </w:rPr>
        <w:t>中</w:t>
      </w:r>
      <w:bookmarkEnd w:id="1"/>
      <w:r>
        <w:rPr>
          <w:rFonts w:hint="eastAsia" w:ascii="Times New Roman" w:hAnsi="仿宋" w:eastAsia="仿宋" w:cs="Times New Roman"/>
          <w:sz w:val="28"/>
          <w:szCs w:val="28"/>
        </w:rPr>
        <w:t>单药物频次统计分析</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通过tabulate函数所得的频次统计分析结果来看，</w:t>
      </w:r>
      <w:r>
        <w:rPr>
          <w:rFonts w:ascii="Times New Roman" w:hAnsi="仿宋" w:eastAsia="仿宋" w:cs="Times New Roman"/>
          <w:sz w:val="28"/>
          <w:szCs w:val="28"/>
        </w:rPr>
        <w:t>区域</w:t>
      </w:r>
      <w:r>
        <w:rPr>
          <w:rFonts w:hint="eastAsia" w:ascii="Times New Roman" w:hAnsi="仿宋" w:eastAsia="仿宋" w:cs="Times New Roman"/>
          <w:sz w:val="28"/>
          <w:szCs w:val="28"/>
        </w:rPr>
        <w:t>共涉及82例处方，140余种中药药材，药物</w:t>
      </w:r>
      <w:r>
        <w:rPr>
          <w:rFonts w:ascii="Times New Roman" w:hAnsi="仿宋" w:eastAsia="仿宋" w:cs="Times New Roman"/>
          <w:sz w:val="28"/>
          <w:szCs w:val="28"/>
        </w:rPr>
        <w:t>在各例处方目录中出现总</w:t>
      </w:r>
      <w:r>
        <w:rPr>
          <w:rFonts w:hint="eastAsia" w:ascii="Times New Roman" w:hAnsi="仿宋" w:eastAsia="仿宋" w:cs="Times New Roman"/>
          <w:sz w:val="28"/>
          <w:szCs w:val="28"/>
        </w:rPr>
        <w:t>频次884次。其中使用频次≥10的中药共27味，累计</w:t>
      </w:r>
      <w:r>
        <w:rPr>
          <w:rFonts w:ascii="Times New Roman" w:hAnsi="仿宋" w:eastAsia="仿宋" w:cs="Times New Roman"/>
          <w:sz w:val="28"/>
          <w:szCs w:val="28"/>
        </w:rPr>
        <w:t>出现</w:t>
      </w:r>
      <w:r>
        <w:rPr>
          <w:rFonts w:hint="eastAsia" w:ascii="Times New Roman" w:hAnsi="仿宋" w:eastAsia="仿宋" w:cs="Times New Roman"/>
          <w:sz w:val="28"/>
          <w:szCs w:val="28"/>
        </w:rPr>
        <w:t>频次551次，占总频次62.3%，分别为补气药（甘草、白术（炒）、绞股蓝）、发散风热药（薄荷、柴胡）、利水消肿药（茯苓、泽泻）、利湿退黄药（</w:t>
      </w:r>
      <w:r>
        <w:rPr>
          <w:rFonts w:hint="eastAsia" w:ascii="Times New Roman" w:hAnsi="仿宋" w:eastAsia="仿宋" w:cs="Times New Roman"/>
          <w:color w:val="FF0000"/>
          <w:sz w:val="28"/>
          <w:szCs w:val="28"/>
        </w:rPr>
        <w:t>茵</w:t>
      </w:r>
      <w:r>
        <w:rPr>
          <w:rFonts w:hint="eastAsia" w:ascii="Times New Roman" w:hAnsi="仿宋" w:eastAsia="仿宋" w:cs="Times New Roman"/>
          <w:sz w:val="28"/>
          <w:szCs w:val="28"/>
        </w:rPr>
        <w:t>陈、垂盆草、虎杖）、清热泻火药（决明子、焦山栀）、活血调经药（丹参）、补血药（当归、白芍）、活血止痛药（郁金）、理气药（陈皮）、消食药（生山楂）、清热燥湿药（黄芩）、补阴药（枸杞子）、收涩药（荷叶、五味子）、清热化痰药（海藻）、清热解毒药（蒲公英）、攻下药（生大黄）、止咳平喘药（紫金牛）、化湿药（川朴）。</w:t>
      </w:r>
      <w:r>
        <w:rPr>
          <w:rFonts w:ascii="Times New Roman" w:hAnsi="仿宋" w:eastAsia="仿宋" w:cs="Times New Roman"/>
          <w:sz w:val="28"/>
          <w:szCs w:val="28"/>
        </w:rPr>
        <w:t>（表3）</w:t>
      </w:r>
    </w:p>
    <w:p/>
    <w:p>
      <w:pPr>
        <w:pStyle w:val="4"/>
        <w:jc w:val="center"/>
        <w:rPr>
          <w:rFonts w:ascii="Times New Roman" w:hAnsi="Times New Roman" w:eastAsia="宋体"/>
          <w:sz w:val="21"/>
          <w:szCs w:val="21"/>
        </w:rPr>
      </w:pPr>
      <w:r>
        <w:rPr>
          <w:rFonts w:hint="eastAsia" w:ascii="Times New Roman" w:hAnsi="Times New Roman" w:eastAsia="宋体"/>
          <w:sz w:val="21"/>
          <w:szCs w:val="21"/>
        </w:rPr>
        <w:t>表</w:t>
      </w:r>
      <w:r>
        <w:rPr>
          <w:rFonts w:ascii="Times New Roman" w:hAnsi="Times New Roman" w:eastAsia="宋体"/>
          <w:sz w:val="21"/>
          <w:szCs w:val="21"/>
        </w:rPr>
        <w:t xml:space="preserve">3 </w:t>
      </w:r>
      <w:r>
        <w:rPr>
          <w:rFonts w:hint="eastAsia" w:ascii="Times New Roman" w:hAnsi="Times New Roman" w:eastAsia="宋体"/>
          <w:sz w:val="21"/>
          <w:szCs w:val="21"/>
        </w:rPr>
        <w:t>单药物</w:t>
      </w:r>
      <w:r>
        <w:rPr>
          <w:rFonts w:ascii="Times New Roman" w:hAnsi="Times New Roman" w:eastAsia="宋体"/>
          <w:sz w:val="21"/>
          <w:szCs w:val="21"/>
        </w:rPr>
        <w:t>在区域中药处方目录中出现频次与频率</w:t>
      </w:r>
    </w:p>
    <w:tbl>
      <w:tblPr>
        <w:tblStyle w:val="11"/>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276"/>
        <w:gridCol w:w="708"/>
        <w:gridCol w:w="1134"/>
        <w:gridCol w:w="709"/>
        <w:gridCol w:w="1418"/>
        <w:gridCol w:w="850"/>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18" w:space="0"/>
              <w:left w:val="nil"/>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序号</w:t>
            </w:r>
          </w:p>
        </w:tc>
        <w:tc>
          <w:tcPr>
            <w:tcW w:w="1276" w:type="dxa"/>
            <w:tcBorders>
              <w:top w:val="single" w:color="auto" w:sz="18" w:space="0"/>
              <w:left w:val="nil"/>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名称</w:t>
            </w:r>
          </w:p>
        </w:tc>
        <w:tc>
          <w:tcPr>
            <w:tcW w:w="708" w:type="dxa"/>
            <w:tcBorders>
              <w:top w:val="single" w:color="auto" w:sz="18" w:space="0"/>
              <w:left w:val="nil"/>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频次</w:t>
            </w:r>
          </w:p>
        </w:tc>
        <w:tc>
          <w:tcPr>
            <w:tcW w:w="1134" w:type="dxa"/>
            <w:tcBorders>
              <w:top w:val="single" w:color="auto" w:sz="18" w:space="0"/>
              <w:left w:val="nil"/>
              <w:bottom w:val="single" w:color="auto" w:sz="4" w:space="0"/>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频率</w:t>
            </w:r>
          </w:p>
        </w:tc>
        <w:tc>
          <w:tcPr>
            <w:tcW w:w="709" w:type="dxa"/>
            <w:tcBorders>
              <w:top w:val="single" w:color="auto" w:sz="18" w:space="0"/>
              <w:left w:val="single" w:color="auto" w:sz="4" w:space="0"/>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序号</w:t>
            </w:r>
          </w:p>
        </w:tc>
        <w:tc>
          <w:tcPr>
            <w:tcW w:w="1418" w:type="dxa"/>
            <w:tcBorders>
              <w:top w:val="single" w:color="auto" w:sz="18" w:space="0"/>
              <w:left w:val="nil"/>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名称</w:t>
            </w:r>
          </w:p>
        </w:tc>
        <w:tc>
          <w:tcPr>
            <w:tcW w:w="850" w:type="dxa"/>
            <w:tcBorders>
              <w:top w:val="single" w:color="auto" w:sz="18" w:space="0"/>
              <w:left w:val="nil"/>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频次</w:t>
            </w:r>
          </w:p>
        </w:tc>
        <w:tc>
          <w:tcPr>
            <w:tcW w:w="992" w:type="dxa"/>
            <w:tcBorders>
              <w:top w:val="single" w:color="auto" w:sz="18" w:space="0"/>
              <w:left w:val="nil"/>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p>
        </w:tc>
        <w:tc>
          <w:tcPr>
            <w:tcW w:w="1276" w:type="dxa"/>
            <w:tcBorders>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甘草</w:t>
            </w:r>
          </w:p>
        </w:tc>
        <w:tc>
          <w:tcPr>
            <w:tcW w:w="708" w:type="dxa"/>
            <w:tcBorders>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8</w:t>
            </w:r>
          </w:p>
        </w:tc>
        <w:tc>
          <w:tcPr>
            <w:tcW w:w="1134" w:type="dxa"/>
            <w:tcBorders>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6.3%</w:t>
            </w:r>
          </w:p>
        </w:tc>
        <w:tc>
          <w:tcPr>
            <w:tcW w:w="709" w:type="dxa"/>
            <w:tcBorders>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6</w:t>
            </w:r>
          </w:p>
        </w:tc>
        <w:tc>
          <w:tcPr>
            <w:tcW w:w="1418" w:type="dxa"/>
            <w:tcBorders>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生山楂</w:t>
            </w:r>
          </w:p>
        </w:tc>
        <w:tc>
          <w:tcPr>
            <w:tcW w:w="850" w:type="dxa"/>
            <w:tcBorders>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7</w:t>
            </w:r>
          </w:p>
        </w:tc>
        <w:tc>
          <w:tcPr>
            <w:tcW w:w="992" w:type="dxa"/>
            <w:tcBorders>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柴胡</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6</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3.9%</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7</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黄芩</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5</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茯苓</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5</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2.7%</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8</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枸杞子</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5</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4</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color w:val="FF0000"/>
                <w:sz w:val="18"/>
                <w:szCs w:val="18"/>
              </w:rPr>
              <w:t>茵</w:t>
            </w:r>
            <w:r>
              <w:rPr>
                <w:rFonts w:hint="eastAsia" w:ascii="Times New Roman" w:hAnsi="Times New Roman"/>
                <w:sz w:val="18"/>
                <w:szCs w:val="18"/>
              </w:rPr>
              <w:t>陈</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2</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9.0%</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9</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荷叶</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4</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5</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丹参</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1</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7.8%</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虎杖</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6</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白术（炒）</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9</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5.4%</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1</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薄荷</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7</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决明子</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9</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5.3%</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2</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海藻</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8</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绞股蓝</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8</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4.1%</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3</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蒲公英</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9</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泽泻</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8</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4.1%</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4</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生大黄</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郁金</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8</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4.1%</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5</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五味子（北）</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1</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当归</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4.4%</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6</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紫金牛</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1276" w:type="dxa"/>
            <w:tcBorders>
              <w:top w:val="nil"/>
              <w:left w:val="nil"/>
              <w:bottom w:val="nil"/>
              <w:right w:val="nil"/>
            </w:tcBorders>
            <w:shd w:val="clear" w:color="auto" w:fill="auto"/>
          </w:tcPr>
          <w:p>
            <w:pPr>
              <w:ind w:firstLine="90" w:firstLineChars="50"/>
              <w:rPr>
                <w:rFonts w:ascii="Times New Roman" w:hAnsi="Times New Roman"/>
                <w:sz w:val="18"/>
                <w:szCs w:val="18"/>
              </w:rPr>
            </w:pPr>
            <w:r>
              <w:rPr>
                <w:rFonts w:hint="eastAsia" w:ascii="Times New Roman" w:hAnsi="Times New Roman"/>
                <w:sz w:val="18"/>
                <w:szCs w:val="18"/>
              </w:rPr>
              <w:t>白芍（炒）</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8</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1.9%</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7</w:t>
            </w:r>
          </w:p>
        </w:tc>
        <w:tc>
          <w:tcPr>
            <w:tcW w:w="141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川朴</w:t>
            </w:r>
          </w:p>
        </w:tc>
        <w:tc>
          <w:tcPr>
            <w:tcW w:w="850"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992"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3</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焦山栀</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8</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1.9%</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p>
        </w:tc>
        <w:tc>
          <w:tcPr>
            <w:tcW w:w="1418" w:type="dxa"/>
            <w:tcBorders>
              <w:top w:val="nil"/>
              <w:left w:val="nil"/>
              <w:bottom w:val="nil"/>
              <w:right w:val="nil"/>
            </w:tcBorders>
            <w:shd w:val="clear" w:color="auto" w:fill="auto"/>
          </w:tcPr>
          <w:p>
            <w:pPr>
              <w:jc w:val="center"/>
              <w:rPr>
                <w:rFonts w:ascii="Times New Roman" w:hAnsi="Times New Roman"/>
                <w:sz w:val="18"/>
                <w:szCs w:val="18"/>
              </w:rPr>
            </w:pPr>
          </w:p>
        </w:tc>
        <w:tc>
          <w:tcPr>
            <w:tcW w:w="850" w:type="dxa"/>
            <w:tcBorders>
              <w:top w:val="nil"/>
              <w:left w:val="nil"/>
              <w:bottom w:val="nil"/>
              <w:right w:val="nil"/>
            </w:tcBorders>
            <w:shd w:val="clear" w:color="auto" w:fill="auto"/>
          </w:tcPr>
          <w:p>
            <w:pPr>
              <w:jc w:val="center"/>
              <w:rPr>
                <w:rFonts w:ascii="Times New Roman" w:hAnsi="Times New Roman"/>
                <w:sz w:val="18"/>
                <w:szCs w:val="18"/>
              </w:rPr>
            </w:pPr>
          </w:p>
        </w:tc>
        <w:tc>
          <w:tcPr>
            <w:tcW w:w="992" w:type="dxa"/>
            <w:tcBorders>
              <w:top w:val="nil"/>
              <w:left w:val="nil"/>
              <w:bottom w:val="nil"/>
              <w:right w:val="nil"/>
            </w:tcBorders>
            <w:shd w:val="clear" w:color="auto" w:fill="auto"/>
          </w:tcPr>
          <w:p>
            <w:pPr>
              <w:jc w:val="center"/>
              <w:rPr>
                <w:rFonts w:ascii="Times New Roman" w:hAnsi="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4</w:t>
            </w:r>
          </w:p>
        </w:tc>
        <w:tc>
          <w:tcPr>
            <w:tcW w:w="1276"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陈皮</w:t>
            </w:r>
          </w:p>
        </w:tc>
        <w:tc>
          <w:tcPr>
            <w:tcW w:w="708" w:type="dxa"/>
            <w:tcBorders>
              <w:top w:val="nil"/>
              <w:left w:val="nil"/>
              <w:bottom w:val="nil"/>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7</w:t>
            </w:r>
          </w:p>
        </w:tc>
        <w:tc>
          <w:tcPr>
            <w:tcW w:w="1134" w:type="dxa"/>
            <w:tcBorders>
              <w:top w:val="nil"/>
              <w:left w:val="nil"/>
              <w:bottom w:val="nil"/>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0.7%</w:t>
            </w:r>
          </w:p>
        </w:tc>
        <w:tc>
          <w:tcPr>
            <w:tcW w:w="709" w:type="dxa"/>
            <w:tcBorders>
              <w:top w:val="nil"/>
              <w:left w:val="single" w:color="auto" w:sz="4" w:space="0"/>
              <w:bottom w:val="nil"/>
              <w:right w:val="nil"/>
            </w:tcBorders>
            <w:shd w:val="clear" w:color="auto" w:fill="auto"/>
          </w:tcPr>
          <w:p>
            <w:pPr>
              <w:jc w:val="center"/>
              <w:rPr>
                <w:rFonts w:ascii="Times New Roman" w:hAnsi="Times New Roman"/>
                <w:sz w:val="18"/>
                <w:szCs w:val="18"/>
              </w:rPr>
            </w:pPr>
          </w:p>
        </w:tc>
        <w:tc>
          <w:tcPr>
            <w:tcW w:w="1418" w:type="dxa"/>
            <w:tcBorders>
              <w:top w:val="nil"/>
              <w:left w:val="nil"/>
              <w:bottom w:val="nil"/>
              <w:right w:val="nil"/>
            </w:tcBorders>
            <w:shd w:val="clear" w:color="auto" w:fill="auto"/>
          </w:tcPr>
          <w:p>
            <w:pPr>
              <w:jc w:val="center"/>
              <w:rPr>
                <w:rFonts w:ascii="Times New Roman" w:hAnsi="Times New Roman"/>
                <w:sz w:val="18"/>
                <w:szCs w:val="18"/>
              </w:rPr>
            </w:pPr>
          </w:p>
        </w:tc>
        <w:tc>
          <w:tcPr>
            <w:tcW w:w="850" w:type="dxa"/>
            <w:tcBorders>
              <w:top w:val="nil"/>
              <w:left w:val="nil"/>
              <w:bottom w:val="nil"/>
              <w:right w:val="nil"/>
            </w:tcBorders>
            <w:shd w:val="clear" w:color="auto" w:fill="auto"/>
          </w:tcPr>
          <w:p>
            <w:pPr>
              <w:jc w:val="center"/>
              <w:rPr>
                <w:rFonts w:ascii="Times New Roman" w:hAnsi="Times New Roman"/>
                <w:sz w:val="18"/>
                <w:szCs w:val="18"/>
              </w:rPr>
            </w:pPr>
          </w:p>
        </w:tc>
        <w:tc>
          <w:tcPr>
            <w:tcW w:w="992" w:type="dxa"/>
            <w:tcBorders>
              <w:top w:val="nil"/>
              <w:left w:val="nil"/>
              <w:bottom w:val="nil"/>
              <w:right w:val="nil"/>
            </w:tcBorders>
            <w:shd w:val="clear" w:color="auto" w:fill="auto"/>
          </w:tcPr>
          <w:p>
            <w:pPr>
              <w:jc w:val="center"/>
              <w:rPr>
                <w:rFonts w:ascii="Times New Roman" w:hAnsi="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nil"/>
              <w:left w:val="nil"/>
              <w:bottom w:val="single" w:color="auto" w:sz="18"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5</w:t>
            </w:r>
          </w:p>
        </w:tc>
        <w:tc>
          <w:tcPr>
            <w:tcW w:w="1276" w:type="dxa"/>
            <w:tcBorders>
              <w:top w:val="nil"/>
              <w:left w:val="nil"/>
              <w:bottom w:val="single" w:color="auto" w:sz="18"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垂盆草</w:t>
            </w:r>
          </w:p>
        </w:tc>
        <w:tc>
          <w:tcPr>
            <w:tcW w:w="708" w:type="dxa"/>
            <w:tcBorders>
              <w:top w:val="nil"/>
              <w:left w:val="nil"/>
              <w:bottom w:val="single" w:color="auto" w:sz="18"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7</w:t>
            </w:r>
          </w:p>
        </w:tc>
        <w:tc>
          <w:tcPr>
            <w:tcW w:w="1134" w:type="dxa"/>
            <w:tcBorders>
              <w:top w:val="nil"/>
              <w:left w:val="nil"/>
              <w:bottom w:val="single" w:color="auto" w:sz="18" w:space="0"/>
              <w:right w:val="single" w:color="auto" w:sz="4" w:space="0"/>
            </w:tcBorders>
            <w:shd w:val="clear" w:color="auto" w:fill="auto"/>
          </w:tcPr>
          <w:p>
            <w:pPr>
              <w:jc w:val="cente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0.7%</w:t>
            </w:r>
          </w:p>
        </w:tc>
        <w:tc>
          <w:tcPr>
            <w:tcW w:w="709" w:type="dxa"/>
            <w:tcBorders>
              <w:top w:val="nil"/>
              <w:left w:val="single" w:color="auto" w:sz="4" w:space="0"/>
              <w:bottom w:val="single" w:color="auto" w:sz="18" w:space="0"/>
              <w:right w:val="nil"/>
            </w:tcBorders>
            <w:shd w:val="clear" w:color="auto" w:fill="auto"/>
          </w:tcPr>
          <w:p>
            <w:pPr>
              <w:jc w:val="center"/>
              <w:rPr>
                <w:rFonts w:ascii="Times New Roman" w:hAnsi="Times New Roman"/>
                <w:sz w:val="18"/>
                <w:szCs w:val="18"/>
              </w:rPr>
            </w:pPr>
          </w:p>
        </w:tc>
        <w:tc>
          <w:tcPr>
            <w:tcW w:w="1418" w:type="dxa"/>
            <w:tcBorders>
              <w:top w:val="nil"/>
              <w:left w:val="nil"/>
              <w:bottom w:val="single" w:color="auto" w:sz="18" w:space="0"/>
              <w:right w:val="nil"/>
            </w:tcBorders>
            <w:shd w:val="clear" w:color="auto" w:fill="auto"/>
          </w:tcPr>
          <w:p>
            <w:pPr>
              <w:jc w:val="center"/>
              <w:rPr>
                <w:rFonts w:ascii="Times New Roman" w:hAnsi="Times New Roman"/>
                <w:sz w:val="18"/>
                <w:szCs w:val="18"/>
              </w:rPr>
            </w:pPr>
          </w:p>
        </w:tc>
        <w:tc>
          <w:tcPr>
            <w:tcW w:w="850" w:type="dxa"/>
            <w:tcBorders>
              <w:top w:val="nil"/>
              <w:left w:val="nil"/>
              <w:bottom w:val="single" w:color="auto" w:sz="18" w:space="0"/>
              <w:right w:val="nil"/>
            </w:tcBorders>
            <w:shd w:val="clear" w:color="auto" w:fill="auto"/>
          </w:tcPr>
          <w:p>
            <w:pPr>
              <w:jc w:val="center"/>
              <w:rPr>
                <w:rFonts w:ascii="Times New Roman" w:hAnsi="Times New Roman"/>
                <w:sz w:val="18"/>
                <w:szCs w:val="18"/>
              </w:rPr>
            </w:pPr>
          </w:p>
        </w:tc>
        <w:tc>
          <w:tcPr>
            <w:tcW w:w="992" w:type="dxa"/>
            <w:tcBorders>
              <w:top w:val="nil"/>
              <w:left w:val="nil"/>
              <w:bottom w:val="single" w:color="auto" w:sz="18" w:space="0"/>
              <w:right w:val="nil"/>
            </w:tcBorders>
            <w:shd w:val="clear" w:color="auto" w:fill="auto"/>
          </w:tcPr>
          <w:p>
            <w:pPr>
              <w:jc w:val="center"/>
              <w:rPr>
                <w:rFonts w:ascii="Times New Roman" w:hAnsi="Times New Roman"/>
                <w:sz w:val="18"/>
                <w:szCs w:val="18"/>
              </w:rPr>
            </w:pPr>
          </w:p>
        </w:tc>
      </w:tr>
    </w:tbl>
    <w:p>
      <w:pPr>
        <w:rPr>
          <w:rFonts w:ascii="Times New Roman" w:hAnsi="Times New Roman"/>
        </w:rPr>
      </w:pP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3.2.2  药物组合频次统计分析及药物之间规则分析</w:t>
      </w:r>
    </w:p>
    <w:p>
      <w:pPr>
        <w:ind w:firstLine="420" w:firstLineChars="150"/>
        <w:rPr>
          <w:rFonts w:ascii="Times New Roman" w:hAnsi="仿宋" w:eastAsia="仿宋" w:cs="Times New Roman"/>
          <w:sz w:val="28"/>
          <w:szCs w:val="28"/>
        </w:rPr>
      </w:pPr>
      <w:bookmarkStart w:id="2" w:name="OLE_LINK10"/>
      <w:bookmarkStart w:id="3" w:name="OLE_LINK9"/>
      <w:r>
        <w:rPr>
          <w:rFonts w:hint="eastAsia" w:ascii="Times New Roman" w:hAnsi="仿宋" w:eastAsia="仿宋" w:cs="Times New Roman"/>
          <w:sz w:val="28"/>
          <w:szCs w:val="28"/>
        </w:rPr>
        <w:t>当我们设置最小支持度为0.22，最小置信度为0.70，运用Apriori算法得到方剂中药物组合的</w:t>
      </w:r>
      <w:r>
        <w:rPr>
          <w:rFonts w:ascii="Times New Roman" w:hAnsi="仿宋" w:eastAsia="仿宋" w:cs="Times New Roman"/>
          <w:sz w:val="28"/>
          <w:szCs w:val="28"/>
        </w:rPr>
        <w:t>出现</w:t>
      </w:r>
      <w:r>
        <w:rPr>
          <w:rFonts w:hint="eastAsia" w:ascii="Times New Roman" w:hAnsi="仿宋" w:eastAsia="仿宋" w:cs="Times New Roman"/>
          <w:sz w:val="28"/>
          <w:szCs w:val="28"/>
        </w:rPr>
        <w:t>频次，其中最多的为柴胡、甘草组合，频次为26，支持度内使用频次最少的为柴胡、白术（炒）组合，为19次。如表4的所示。</w:t>
      </w:r>
      <w:bookmarkEnd w:id="2"/>
      <w:bookmarkEnd w:id="3"/>
    </w:p>
    <w:p>
      <w:pPr>
        <w:pStyle w:val="4"/>
        <w:jc w:val="center"/>
        <w:rPr>
          <w:rFonts w:ascii="Times New Roman" w:hAnsi="Times New Roman" w:eastAsia="宋体"/>
          <w:sz w:val="21"/>
          <w:szCs w:val="21"/>
        </w:rPr>
      </w:pPr>
      <w:r>
        <w:rPr>
          <w:rFonts w:hint="eastAsia" w:ascii="Times New Roman" w:hAnsi="Times New Roman" w:eastAsia="宋体"/>
          <w:sz w:val="21"/>
          <w:szCs w:val="21"/>
        </w:rPr>
        <w:t>表</w:t>
      </w:r>
      <w:r>
        <w:rPr>
          <w:rFonts w:ascii="Times New Roman" w:hAnsi="Times New Roman" w:eastAsia="宋体"/>
          <w:sz w:val="21"/>
          <w:szCs w:val="21"/>
        </w:rPr>
        <w:t xml:space="preserve">4 </w:t>
      </w:r>
      <w:r>
        <w:rPr>
          <w:rFonts w:hint="eastAsia" w:ascii="Times New Roman" w:hAnsi="Times New Roman" w:eastAsia="宋体"/>
          <w:sz w:val="21"/>
          <w:szCs w:val="21"/>
        </w:rPr>
        <w:t>药物组合在区域中药处方目录中出现频次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984"/>
        <w:gridCol w:w="709"/>
        <w:gridCol w:w="709"/>
        <w:gridCol w:w="2268"/>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auto" w:sz="18" w:space="0"/>
              <w:left w:val="nil"/>
              <w:bottom w:val="single" w:color="auto" w:sz="4"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序号</w:t>
            </w:r>
          </w:p>
        </w:tc>
        <w:tc>
          <w:tcPr>
            <w:tcW w:w="1984" w:type="dxa"/>
            <w:tcBorders>
              <w:top w:val="single" w:color="auto" w:sz="18" w:space="0"/>
              <w:left w:val="nil"/>
              <w:bottom w:val="single" w:color="auto" w:sz="4"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组合</w:t>
            </w:r>
          </w:p>
        </w:tc>
        <w:tc>
          <w:tcPr>
            <w:tcW w:w="709" w:type="dxa"/>
            <w:tcBorders>
              <w:top w:val="single" w:color="auto" w:sz="18" w:space="0"/>
              <w:left w:val="nil"/>
              <w:bottom w:val="single" w:color="auto" w:sz="4" w:space="0"/>
            </w:tcBorders>
            <w:shd w:val="clear" w:color="auto" w:fill="auto"/>
          </w:tcPr>
          <w:p>
            <w:pPr>
              <w:rPr>
                <w:rFonts w:ascii="Times New Roman" w:hAnsi="Times New Roman"/>
                <w:sz w:val="18"/>
                <w:szCs w:val="18"/>
              </w:rPr>
            </w:pPr>
            <w:r>
              <w:rPr>
                <w:rFonts w:hint="eastAsia" w:ascii="Times New Roman" w:hAnsi="Times New Roman"/>
                <w:sz w:val="18"/>
                <w:szCs w:val="18"/>
              </w:rPr>
              <w:t>频次</w:t>
            </w:r>
          </w:p>
        </w:tc>
        <w:tc>
          <w:tcPr>
            <w:tcW w:w="709" w:type="dxa"/>
            <w:tcBorders>
              <w:top w:val="single" w:color="auto" w:sz="18" w:space="0"/>
              <w:bottom w:val="single" w:color="auto" w:sz="4"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序号</w:t>
            </w:r>
          </w:p>
        </w:tc>
        <w:tc>
          <w:tcPr>
            <w:tcW w:w="2268" w:type="dxa"/>
            <w:tcBorders>
              <w:top w:val="single" w:color="auto" w:sz="18" w:space="0"/>
              <w:left w:val="nil"/>
              <w:bottom w:val="single" w:color="auto" w:sz="4"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组合</w:t>
            </w:r>
          </w:p>
        </w:tc>
        <w:tc>
          <w:tcPr>
            <w:tcW w:w="709" w:type="dxa"/>
            <w:tcBorders>
              <w:top w:val="single" w:color="auto" w:sz="18" w:space="0"/>
              <w:left w:val="nil"/>
              <w:bottom w:val="single" w:color="auto" w:sz="4"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频次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auto" w:sz="4" w:space="0"/>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p>
        </w:tc>
        <w:tc>
          <w:tcPr>
            <w:tcW w:w="1984" w:type="dxa"/>
            <w:tcBorders>
              <w:top w:val="single" w:color="auto" w:sz="4" w:space="0"/>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柴胡、甘草</w:t>
            </w:r>
          </w:p>
        </w:tc>
        <w:tc>
          <w:tcPr>
            <w:tcW w:w="709" w:type="dxa"/>
            <w:tcBorders>
              <w:top w:val="single" w:color="auto" w:sz="4" w:space="0"/>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6</w:t>
            </w:r>
          </w:p>
        </w:tc>
        <w:tc>
          <w:tcPr>
            <w:tcW w:w="709" w:type="dxa"/>
            <w:tcBorders>
              <w:top w:val="single" w:color="auto" w:sz="4" w:space="0"/>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2268" w:type="dxa"/>
            <w:tcBorders>
              <w:top w:val="single" w:color="auto" w:sz="4" w:space="0"/>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甘草、郁金</w:t>
            </w:r>
          </w:p>
        </w:tc>
        <w:tc>
          <w:tcPr>
            <w:tcW w:w="709" w:type="dxa"/>
            <w:tcBorders>
              <w:top w:val="single" w:color="auto" w:sz="4" w:space="0"/>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2</w:t>
            </w:r>
          </w:p>
        </w:tc>
        <w:tc>
          <w:tcPr>
            <w:tcW w:w="1984"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白术（炒）、茯苓</w:t>
            </w:r>
          </w:p>
        </w:tc>
        <w:tc>
          <w:tcPr>
            <w:tcW w:w="709" w:type="dxa"/>
            <w:tcBorders>
              <w:top w:val="nil"/>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5</w:t>
            </w:r>
          </w:p>
        </w:tc>
        <w:tc>
          <w:tcPr>
            <w:tcW w:w="709" w:type="dxa"/>
            <w:tcBorders>
              <w:top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1</w:t>
            </w:r>
          </w:p>
        </w:tc>
        <w:tc>
          <w:tcPr>
            <w:tcW w:w="2268"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决明子、茯苓</w:t>
            </w:r>
          </w:p>
        </w:tc>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3</w:t>
            </w:r>
          </w:p>
        </w:tc>
        <w:tc>
          <w:tcPr>
            <w:tcW w:w="1984"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丹参、甘草</w:t>
            </w:r>
          </w:p>
        </w:tc>
        <w:tc>
          <w:tcPr>
            <w:tcW w:w="709" w:type="dxa"/>
            <w:tcBorders>
              <w:top w:val="nil"/>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3</w:t>
            </w:r>
          </w:p>
        </w:tc>
        <w:tc>
          <w:tcPr>
            <w:tcW w:w="709" w:type="dxa"/>
            <w:tcBorders>
              <w:top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2268"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丹参、郁金</w:t>
            </w:r>
          </w:p>
        </w:tc>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4</w:t>
            </w:r>
          </w:p>
        </w:tc>
        <w:tc>
          <w:tcPr>
            <w:tcW w:w="1984"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茯苓、郁金</w:t>
            </w:r>
          </w:p>
        </w:tc>
        <w:tc>
          <w:tcPr>
            <w:tcW w:w="709" w:type="dxa"/>
            <w:tcBorders>
              <w:top w:val="nil"/>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2</w:t>
            </w:r>
          </w:p>
        </w:tc>
        <w:tc>
          <w:tcPr>
            <w:tcW w:w="709" w:type="dxa"/>
            <w:tcBorders>
              <w:top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3</w:t>
            </w:r>
          </w:p>
        </w:tc>
        <w:tc>
          <w:tcPr>
            <w:tcW w:w="2268"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丹参、茯苓</w:t>
            </w:r>
          </w:p>
        </w:tc>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5</w:t>
            </w:r>
          </w:p>
        </w:tc>
        <w:tc>
          <w:tcPr>
            <w:tcW w:w="1984"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丹参、柴胡</w:t>
            </w:r>
          </w:p>
        </w:tc>
        <w:tc>
          <w:tcPr>
            <w:tcW w:w="709" w:type="dxa"/>
            <w:tcBorders>
              <w:top w:val="nil"/>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2</w:t>
            </w:r>
          </w:p>
        </w:tc>
        <w:tc>
          <w:tcPr>
            <w:tcW w:w="709" w:type="dxa"/>
            <w:tcBorders>
              <w:top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4</w:t>
            </w:r>
          </w:p>
        </w:tc>
        <w:tc>
          <w:tcPr>
            <w:tcW w:w="2268"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白术（炒）、茯苓、郁金</w:t>
            </w:r>
          </w:p>
        </w:tc>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6</w:t>
            </w:r>
          </w:p>
        </w:tc>
        <w:tc>
          <w:tcPr>
            <w:tcW w:w="1984"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柴胡、茯苓</w:t>
            </w:r>
          </w:p>
        </w:tc>
        <w:tc>
          <w:tcPr>
            <w:tcW w:w="709" w:type="dxa"/>
            <w:tcBorders>
              <w:top w:val="nil"/>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1</w:t>
            </w:r>
          </w:p>
        </w:tc>
        <w:tc>
          <w:tcPr>
            <w:tcW w:w="709" w:type="dxa"/>
            <w:tcBorders>
              <w:top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5</w:t>
            </w:r>
          </w:p>
        </w:tc>
        <w:tc>
          <w:tcPr>
            <w:tcW w:w="2268"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白术（炒）、郁金</w:t>
            </w:r>
          </w:p>
        </w:tc>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7</w:t>
            </w:r>
          </w:p>
        </w:tc>
        <w:tc>
          <w:tcPr>
            <w:tcW w:w="1984"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丹参、泽泻</w:t>
            </w:r>
          </w:p>
        </w:tc>
        <w:tc>
          <w:tcPr>
            <w:tcW w:w="709" w:type="dxa"/>
            <w:tcBorders>
              <w:top w:val="nil"/>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1</w:t>
            </w:r>
          </w:p>
        </w:tc>
        <w:tc>
          <w:tcPr>
            <w:tcW w:w="709" w:type="dxa"/>
            <w:tcBorders>
              <w:top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6</w:t>
            </w:r>
          </w:p>
        </w:tc>
        <w:tc>
          <w:tcPr>
            <w:tcW w:w="2268"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泽泻、茯苓</w:t>
            </w:r>
          </w:p>
        </w:tc>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8</w:t>
            </w:r>
          </w:p>
        </w:tc>
        <w:tc>
          <w:tcPr>
            <w:tcW w:w="1984"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丹参、甘草、郁金</w:t>
            </w:r>
          </w:p>
        </w:tc>
        <w:tc>
          <w:tcPr>
            <w:tcW w:w="709" w:type="dxa"/>
            <w:tcBorders>
              <w:top w:val="nil"/>
              <w:left w:val="nil"/>
              <w:bottom w:val="nil"/>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c>
          <w:tcPr>
            <w:tcW w:w="709" w:type="dxa"/>
            <w:tcBorders>
              <w:top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7</w:t>
            </w:r>
          </w:p>
        </w:tc>
        <w:tc>
          <w:tcPr>
            <w:tcW w:w="2268"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泽泻、甘草</w:t>
            </w:r>
          </w:p>
        </w:tc>
        <w:tc>
          <w:tcPr>
            <w:tcW w:w="709" w:type="dxa"/>
            <w:tcBorders>
              <w:top w:val="nil"/>
              <w:left w:val="nil"/>
              <w:bottom w:val="nil"/>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single" w:color="auto" w:sz="18"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9</w:t>
            </w:r>
          </w:p>
        </w:tc>
        <w:tc>
          <w:tcPr>
            <w:tcW w:w="1984" w:type="dxa"/>
            <w:tcBorders>
              <w:top w:val="nil"/>
              <w:left w:val="nil"/>
              <w:bottom w:val="single" w:color="auto" w:sz="18"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丹参、柴胡、甘草</w:t>
            </w:r>
          </w:p>
        </w:tc>
        <w:tc>
          <w:tcPr>
            <w:tcW w:w="709" w:type="dxa"/>
            <w:tcBorders>
              <w:top w:val="nil"/>
              <w:left w:val="nil"/>
              <w:bottom w:val="single" w:color="auto" w:sz="18" w:space="0"/>
            </w:tcBorders>
            <w:shd w:val="clear" w:color="auto" w:fill="auto"/>
          </w:tcPr>
          <w:p>
            <w:pPr>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0</w:t>
            </w:r>
          </w:p>
        </w:tc>
        <w:tc>
          <w:tcPr>
            <w:tcW w:w="709" w:type="dxa"/>
            <w:tcBorders>
              <w:top w:val="nil"/>
              <w:bottom w:val="single" w:color="auto" w:sz="18"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8</w:t>
            </w:r>
          </w:p>
        </w:tc>
        <w:tc>
          <w:tcPr>
            <w:tcW w:w="2268" w:type="dxa"/>
            <w:tcBorders>
              <w:top w:val="nil"/>
              <w:left w:val="nil"/>
              <w:bottom w:val="single" w:color="auto" w:sz="18"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柴胡、白术（炒）</w:t>
            </w:r>
          </w:p>
        </w:tc>
        <w:tc>
          <w:tcPr>
            <w:tcW w:w="709" w:type="dxa"/>
            <w:tcBorders>
              <w:top w:val="nil"/>
              <w:left w:val="nil"/>
              <w:bottom w:val="single" w:color="auto" w:sz="18" w:space="0"/>
              <w:right w:val="nil"/>
            </w:tcBorders>
            <w:shd w:val="clear" w:color="auto" w:fill="auto"/>
          </w:tcPr>
          <w:p>
            <w:pP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9</w:t>
            </w:r>
          </w:p>
        </w:tc>
      </w:tr>
    </w:tbl>
    <w:p>
      <w:pPr>
        <w:ind w:firstLine="420" w:firstLineChars="150"/>
        <w:rPr>
          <w:rFonts w:ascii="Times New Roman" w:hAnsi="仿宋" w:eastAsia="仿宋" w:cs="Times New Roman"/>
          <w:sz w:val="28"/>
          <w:szCs w:val="28"/>
        </w:rPr>
      </w:pP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基于药物组合的频次统计的基础上，Apriori算法也提取出了药物之间的关联规则，如表</w:t>
      </w:r>
      <w:r>
        <w:rPr>
          <w:rFonts w:ascii="Times New Roman" w:hAnsi="仿宋" w:eastAsia="仿宋" w:cs="Times New Roman"/>
          <w:sz w:val="28"/>
          <w:szCs w:val="28"/>
        </w:rPr>
        <w:t>5</w:t>
      </w:r>
      <w:r>
        <w:rPr>
          <w:rFonts w:hint="eastAsia" w:ascii="Times New Roman" w:hAnsi="仿宋" w:eastAsia="仿宋" w:cs="Times New Roman"/>
          <w:sz w:val="28"/>
          <w:szCs w:val="28"/>
        </w:rPr>
        <w:t>所示。</w:t>
      </w:r>
    </w:p>
    <w:p>
      <w:pPr>
        <w:pStyle w:val="4"/>
        <w:jc w:val="center"/>
        <w:rPr>
          <w:rFonts w:ascii="Times New Roman" w:hAnsi="Times New Roman" w:eastAsia="宋体"/>
          <w:sz w:val="21"/>
          <w:szCs w:val="21"/>
        </w:rPr>
      </w:pPr>
      <w:r>
        <w:rPr>
          <w:rFonts w:hint="eastAsia" w:ascii="Times New Roman" w:hAnsi="Times New Roman" w:eastAsia="宋体"/>
          <w:sz w:val="21"/>
          <w:szCs w:val="21"/>
        </w:rPr>
        <w:t>表</w:t>
      </w:r>
      <w:r>
        <w:rPr>
          <w:rFonts w:ascii="Times New Roman" w:hAnsi="Times New Roman" w:eastAsia="宋体"/>
          <w:sz w:val="21"/>
          <w:szCs w:val="21"/>
        </w:rPr>
        <w:t xml:space="preserve">5 </w:t>
      </w:r>
      <w:r>
        <w:rPr>
          <w:rFonts w:hint="eastAsia" w:ascii="Times New Roman" w:hAnsi="Times New Roman" w:eastAsia="宋体"/>
          <w:sz w:val="21"/>
          <w:szCs w:val="21"/>
        </w:rPr>
        <w:t>区域中药处方目录中药物规律（置信度&gt;</w:t>
      </w:r>
      <w:r>
        <w:rPr>
          <w:rFonts w:ascii="Times New Roman" w:hAnsi="Times New Roman" w:eastAsia="宋体"/>
          <w:sz w:val="21"/>
          <w:szCs w:val="21"/>
        </w:rPr>
        <w:t>0.7）</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992"/>
        <w:gridCol w:w="709"/>
        <w:gridCol w:w="1843"/>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 w:hRule="atLeast"/>
          <w:jc w:val="center"/>
        </w:trPr>
        <w:tc>
          <w:tcPr>
            <w:tcW w:w="709" w:type="dxa"/>
            <w:tcBorders>
              <w:top w:val="single" w:color="auto" w:sz="18" w:space="0"/>
              <w:left w:val="nil"/>
              <w:bottom w:val="single" w:color="auto" w:sz="4" w:space="0"/>
              <w:right w:val="nil"/>
            </w:tcBorders>
            <w:shd w:val="clear" w:color="auto" w:fill="auto"/>
            <w:vAlign w:val="center"/>
          </w:tcPr>
          <w:p>
            <w:pPr>
              <w:spacing w:line="400" w:lineRule="exact"/>
              <w:rPr>
                <w:sz w:val="18"/>
                <w:szCs w:val="18"/>
              </w:rPr>
            </w:pPr>
            <w:r>
              <w:rPr>
                <w:rFonts w:hint="eastAsia"/>
                <w:sz w:val="18"/>
                <w:szCs w:val="18"/>
              </w:rPr>
              <w:t>序号</w:t>
            </w:r>
          </w:p>
        </w:tc>
        <w:tc>
          <w:tcPr>
            <w:tcW w:w="1843" w:type="dxa"/>
            <w:tcBorders>
              <w:top w:val="single" w:color="auto" w:sz="18" w:space="0"/>
              <w:left w:val="nil"/>
              <w:bottom w:val="single" w:color="auto" w:sz="4" w:space="0"/>
              <w:right w:val="nil"/>
            </w:tcBorders>
            <w:shd w:val="clear" w:color="auto" w:fill="auto"/>
            <w:vAlign w:val="center"/>
          </w:tcPr>
          <w:p>
            <w:pPr>
              <w:spacing w:line="400" w:lineRule="exact"/>
              <w:rPr>
                <w:sz w:val="18"/>
                <w:szCs w:val="18"/>
              </w:rPr>
            </w:pPr>
            <w:r>
              <w:rPr>
                <w:rFonts w:hint="eastAsia"/>
                <w:sz w:val="18"/>
                <w:szCs w:val="18"/>
              </w:rPr>
              <w:t>规则</w:t>
            </w:r>
          </w:p>
        </w:tc>
        <w:tc>
          <w:tcPr>
            <w:tcW w:w="992" w:type="dxa"/>
            <w:tcBorders>
              <w:top w:val="single" w:color="auto" w:sz="18" w:space="0"/>
              <w:left w:val="nil"/>
              <w:bottom w:val="single" w:color="auto" w:sz="4" w:space="0"/>
            </w:tcBorders>
            <w:shd w:val="clear" w:color="auto" w:fill="auto"/>
            <w:vAlign w:val="center"/>
          </w:tcPr>
          <w:p>
            <w:pPr>
              <w:spacing w:line="400" w:lineRule="exact"/>
              <w:rPr>
                <w:sz w:val="18"/>
                <w:szCs w:val="18"/>
              </w:rPr>
            </w:pPr>
            <w:r>
              <w:rPr>
                <w:rFonts w:hint="eastAsia"/>
                <w:sz w:val="18"/>
                <w:szCs w:val="18"/>
              </w:rPr>
              <w:t>置信度</w:t>
            </w:r>
          </w:p>
        </w:tc>
        <w:tc>
          <w:tcPr>
            <w:tcW w:w="709" w:type="dxa"/>
            <w:tcBorders>
              <w:top w:val="single" w:color="auto" w:sz="18" w:space="0"/>
              <w:bottom w:val="single" w:color="auto" w:sz="4" w:space="0"/>
              <w:right w:val="nil"/>
            </w:tcBorders>
            <w:shd w:val="clear" w:color="auto" w:fill="auto"/>
            <w:vAlign w:val="center"/>
          </w:tcPr>
          <w:p>
            <w:pPr>
              <w:spacing w:line="400" w:lineRule="exact"/>
              <w:rPr>
                <w:sz w:val="18"/>
                <w:szCs w:val="18"/>
              </w:rPr>
            </w:pPr>
            <w:r>
              <w:rPr>
                <w:rFonts w:hint="eastAsia"/>
                <w:sz w:val="18"/>
                <w:szCs w:val="18"/>
              </w:rPr>
              <w:t>序号</w:t>
            </w:r>
          </w:p>
        </w:tc>
        <w:tc>
          <w:tcPr>
            <w:tcW w:w="1843" w:type="dxa"/>
            <w:tcBorders>
              <w:top w:val="single" w:color="auto" w:sz="18" w:space="0"/>
              <w:left w:val="nil"/>
              <w:bottom w:val="single" w:color="auto" w:sz="4" w:space="0"/>
              <w:right w:val="nil"/>
            </w:tcBorders>
            <w:shd w:val="clear" w:color="auto" w:fill="auto"/>
            <w:vAlign w:val="center"/>
          </w:tcPr>
          <w:p>
            <w:pPr>
              <w:spacing w:line="400" w:lineRule="exact"/>
              <w:rPr>
                <w:sz w:val="18"/>
                <w:szCs w:val="18"/>
              </w:rPr>
            </w:pPr>
            <w:r>
              <w:rPr>
                <w:rFonts w:hint="eastAsia"/>
                <w:sz w:val="18"/>
                <w:szCs w:val="18"/>
              </w:rPr>
              <w:t>规则</w:t>
            </w:r>
          </w:p>
        </w:tc>
        <w:tc>
          <w:tcPr>
            <w:tcW w:w="992" w:type="dxa"/>
            <w:tcBorders>
              <w:top w:val="single" w:color="auto" w:sz="18" w:space="0"/>
              <w:left w:val="nil"/>
              <w:bottom w:val="single" w:color="auto" w:sz="4" w:space="0"/>
              <w:right w:val="nil"/>
            </w:tcBorders>
            <w:shd w:val="clear" w:color="auto" w:fill="auto"/>
            <w:vAlign w:val="center"/>
          </w:tcPr>
          <w:p>
            <w:pPr>
              <w:spacing w:line="400" w:lineRule="exact"/>
              <w:rPr>
                <w:sz w:val="18"/>
                <w:szCs w:val="18"/>
              </w:rPr>
            </w:pPr>
            <w:r>
              <w:rPr>
                <w:rFonts w:hint="eastAsia"/>
                <w:sz w:val="18"/>
                <w:szCs w:val="18"/>
              </w:rPr>
              <w:t>置信度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jc w:val="center"/>
        </w:trPr>
        <w:tc>
          <w:tcPr>
            <w:tcW w:w="709" w:type="dxa"/>
            <w:tcBorders>
              <w:top w:val="single" w:color="auto" w:sz="4" w:space="0"/>
              <w:left w:val="nil"/>
              <w:bottom w:val="nil"/>
              <w:right w:val="nil"/>
            </w:tcBorders>
            <w:shd w:val="clear" w:color="auto" w:fill="auto"/>
            <w:vAlign w:val="center"/>
          </w:tcPr>
          <w:p>
            <w:pPr>
              <w:spacing w:line="400" w:lineRule="exact"/>
              <w:rPr>
                <w:sz w:val="18"/>
                <w:szCs w:val="18"/>
              </w:rPr>
            </w:pPr>
            <w:r>
              <w:rPr>
                <w:rFonts w:hint="eastAsia"/>
                <w:sz w:val="18"/>
                <w:szCs w:val="18"/>
              </w:rPr>
              <w:t>1</w:t>
            </w:r>
          </w:p>
        </w:tc>
        <w:tc>
          <w:tcPr>
            <w:tcW w:w="1843" w:type="dxa"/>
            <w:tcBorders>
              <w:top w:val="single" w:color="auto" w:sz="4" w:space="0"/>
              <w:left w:val="nil"/>
              <w:bottom w:val="nil"/>
              <w:right w:val="nil"/>
            </w:tcBorders>
            <w:shd w:val="clear" w:color="auto" w:fill="auto"/>
            <w:vAlign w:val="center"/>
          </w:tcPr>
          <w:p>
            <w:pPr>
              <w:spacing w:line="400" w:lineRule="exact"/>
              <w:rPr>
                <w:sz w:val="18"/>
                <w:szCs w:val="18"/>
              </w:rPr>
            </w:pPr>
            <w:r>
              <w:rPr>
                <w:rFonts w:hint="eastAsia"/>
                <w:sz w:val="18"/>
                <w:szCs w:val="18"/>
              </w:rPr>
              <w:t>丹参、郁金</w:t>
            </w:r>
            <w:r>
              <w:rPr>
                <w:sz w:val="18"/>
                <w:szCs w:val="18"/>
              </w:rPr>
              <w:sym w:font="Wingdings" w:char="F0E0"/>
            </w:r>
            <w:r>
              <w:rPr>
                <w:rFonts w:hint="eastAsia"/>
                <w:sz w:val="18"/>
                <w:szCs w:val="18"/>
              </w:rPr>
              <w:t>甘草</w:t>
            </w:r>
          </w:p>
        </w:tc>
        <w:tc>
          <w:tcPr>
            <w:tcW w:w="992" w:type="dxa"/>
            <w:tcBorders>
              <w:top w:val="single" w:color="auto" w:sz="4" w:space="0"/>
              <w:left w:val="nil"/>
              <w:bottom w:val="nil"/>
            </w:tcBorders>
            <w:shd w:val="clear" w:color="auto" w:fill="auto"/>
            <w:vAlign w:val="center"/>
          </w:tcPr>
          <w:p>
            <w:pPr>
              <w:spacing w:line="400" w:lineRule="exact"/>
              <w:rPr>
                <w:sz w:val="18"/>
                <w:szCs w:val="18"/>
              </w:rPr>
            </w:pPr>
            <w:r>
              <w:rPr>
                <w:rFonts w:hint="eastAsia"/>
                <w:sz w:val="18"/>
                <w:szCs w:val="18"/>
              </w:rPr>
              <w:t>1</w:t>
            </w:r>
            <w:r>
              <w:rPr>
                <w:sz w:val="18"/>
                <w:szCs w:val="18"/>
              </w:rPr>
              <w:t>.000</w:t>
            </w:r>
          </w:p>
        </w:tc>
        <w:tc>
          <w:tcPr>
            <w:tcW w:w="709" w:type="dxa"/>
            <w:tcBorders>
              <w:top w:val="single" w:color="auto" w:sz="4" w:space="0"/>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2</w:t>
            </w:r>
          </w:p>
        </w:tc>
        <w:tc>
          <w:tcPr>
            <w:tcW w:w="1843" w:type="dxa"/>
            <w:tcBorders>
              <w:top w:val="single" w:color="auto" w:sz="4" w:space="0"/>
              <w:left w:val="nil"/>
              <w:bottom w:val="nil"/>
              <w:right w:val="nil"/>
            </w:tcBorders>
            <w:shd w:val="clear" w:color="auto" w:fill="auto"/>
            <w:vAlign w:val="center"/>
          </w:tcPr>
          <w:p>
            <w:pPr>
              <w:spacing w:line="400" w:lineRule="exact"/>
              <w:rPr>
                <w:sz w:val="18"/>
                <w:szCs w:val="18"/>
              </w:rPr>
            </w:pPr>
            <w:r>
              <w:rPr>
                <w:rFonts w:hint="eastAsia"/>
                <w:sz w:val="18"/>
                <w:szCs w:val="18"/>
              </w:rPr>
              <w:t>郁金</w:t>
            </w:r>
            <w:r>
              <w:rPr>
                <w:sz w:val="18"/>
                <w:szCs w:val="18"/>
              </w:rPr>
              <w:sym w:font="Wingdings" w:char="F0E0"/>
            </w:r>
            <w:r>
              <w:rPr>
                <w:rFonts w:hint="eastAsia"/>
                <w:sz w:val="18"/>
                <w:szCs w:val="18"/>
              </w:rPr>
              <w:t>丹参</w:t>
            </w:r>
          </w:p>
        </w:tc>
        <w:tc>
          <w:tcPr>
            <w:tcW w:w="992" w:type="dxa"/>
            <w:tcBorders>
              <w:top w:val="single" w:color="auto" w:sz="4" w:space="0"/>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2</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甘草、郁金</w:t>
            </w:r>
            <w:r>
              <w:rPr>
                <w:sz w:val="18"/>
                <w:szCs w:val="18"/>
              </w:rPr>
              <w:sym w:font="Wingdings" w:char="F0E0"/>
            </w:r>
            <w:r>
              <w:rPr>
                <w:rFonts w:hint="eastAsia"/>
                <w:sz w:val="18"/>
                <w:szCs w:val="18"/>
              </w:rPr>
              <w:t>丹参</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1</w:t>
            </w:r>
            <w:r>
              <w:rPr>
                <w:sz w:val="18"/>
                <w:szCs w:val="18"/>
              </w:rPr>
              <w:t>.000</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3</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郁金</w:t>
            </w:r>
            <w:r>
              <w:rPr>
                <w:sz w:val="18"/>
                <w:szCs w:val="18"/>
              </w:rPr>
              <w:sym w:font="Wingdings" w:char="F0E0"/>
            </w:r>
            <w:r>
              <w:rPr>
                <w:rFonts w:hint="eastAsia"/>
                <w:sz w:val="18"/>
                <w:szCs w:val="18"/>
              </w:rPr>
              <w:t>甘草</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3</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白术、郁金</w:t>
            </w:r>
            <w:r>
              <w:rPr>
                <w:sz w:val="18"/>
                <w:szCs w:val="18"/>
              </w:rPr>
              <w:sym w:font="Wingdings" w:char="F0E0"/>
            </w:r>
            <w:r>
              <w:rPr>
                <w:rFonts w:hint="eastAsia"/>
                <w:sz w:val="18"/>
                <w:szCs w:val="18"/>
              </w:rPr>
              <w:t>茯苓</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1</w:t>
            </w:r>
            <w:r>
              <w:rPr>
                <w:sz w:val="18"/>
                <w:szCs w:val="18"/>
              </w:rPr>
              <w:t>.000</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4</w:t>
            </w:r>
          </w:p>
        </w:tc>
        <w:tc>
          <w:tcPr>
            <w:tcW w:w="1843" w:type="dxa"/>
            <w:tcBorders>
              <w:top w:val="nil"/>
              <w:left w:val="nil"/>
              <w:bottom w:val="nil"/>
              <w:right w:val="nil"/>
            </w:tcBorders>
            <w:shd w:val="clear" w:color="auto" w:fill="auto"/>
            <w:vAlign w:val="center"/>
          </w:tcPr>
          <w:p>
            <w:pPr>
              <w:pStyle w:val="10"/>
              <w:spacing w:before="0" w:beforeAutospacing="0" w:after="0" w:afterAutospacing="0"/>
              <w:rPr>
                <w:sz w:val="18"/>
                <w:szCs w:val="18"/>
              </w:rPr>
            </w:pPr>
            <w:r>
              <w:rPr>
                <w:rFonts w:hint="eastAsia"/>
                <w:sz w:val="18"/>
                <w:szCs w:val="18"/>
              </w:rPr>
              <w:t>柴胡、甘草</w:t>
            </w:r>
            <w:r>
              <w:rPr>
                <w:sz w:val="18"/>
                <w:szCs w:val="18"/>
              </w:rPr>
              <w:sym w:font="Wingdings" w:char="F0E0"/>
            </w:r>
            <w:r>
              <w:rPr>
                <w:rFonts w:hint="eastAsia"/>
                <w:sz w:val="18"/>
                <w:szCs w:val="18"/>
              </w:rPr>
              <w:t>丹参</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4</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白术</w:t>
            </w:r>
            <w:r>
              <w:rPr>
                <w:sz w:val="18"/>
                <w:szCs w:val="18"/>
              </w:rPr>
              <w:sym w:font="Wingdings" w:char="F0E0"/>
            </w:r>
            <w:r>
              <w:rPr>
                <w:rFonts w:hint="eastAsia"/>
                <w:sz w:val="18"/>
                <w:szCs w:val="18"/>
              </w:rPr>
              <w:t>茯苓</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.961</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5</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郁金</w:t>
            </w:r>
            <w:r>
              <w:rPr>
                <w:sz w:val="18"/>
                <w:szCs w:val="18"/>
              </w:rPr>
              <w:sym w:font="Wingdings" w:char="F0E0"/>
            </w:r>
            <w:r>
              <w:rPr>
                <w:rFonts w:hint="eastAsia"/>
                <w:sz w:val="18"/>
                <w:szCs w:val="18"/>
              </w:rPr>
              <w:t>丹参、甘草</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5</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丹参、柴胡</w:t>
            </w:r>
            <w:r>
              <w:rPr>
                <w:sz w:val="18"/>
                <w:szCs w:val="18"/>
              </w:rPr>
              <w:sym w:font="Wingdings" w:char="F0E0"/>
            </w:r>
            <w:r>
              <w:rPr>
                <w:rFonts w:hint="eastAsia"/>
                <w:sz w:val="18"/>
                <w:szCs w:val="18"/>
              </w:rPr>
              <w:t>甘草</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.909</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6</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柴胡</w:t>
            </w:r>
            <w:r>
              <w:rPr>
                <w:sz w:val="18"/>
                <w:szCs w:val="18"/>
              </w:rPr>
              <w:sym w:font="Wingdings" w:char="F0E0"/>
            </w:r>
            <w:r>
              <w:rPr>
                <w:rFonts w:hint="eastAsia"/>
                <w:sz w:val="18"/>
                <w:szCs w:val="18"/>
              </w:rPr>
              <w:t>甘草</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6</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丹参、甘草</w:t>
            </w:r>
            <w:r>
              <w:rPr>
                <w:sz w:val="18"/>
                <w:szCs w:val="18"/>
              </w:rPr>
              <w:sym w:font="Wingdings" w:char="F0E0"/>
            </w:r>
            <w:r>
              <w:rPr>
                <w:rFonts w:hint="eastAsia"/>
                <w:sz w:val="18"/>
                <w:szCs w:val="18"/>
              </w:rPr>
              <w:t>柴胡</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.869</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7</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白术、茯苓</w:t>
            </w:r>
            <w:r>
              <w:rPr>
                <w:sz w:val="18"/>
                <w:szCs w:val="18"/>
              </w:rPr>
              <w:sym w:font="Wingdings" w:char="F0E0"/>
            </w:r>
            <w:r>
              <w:rPr>
                <w:rFonts w:hint="eastAsia"/>
                <w:sz w:val="18"/>
                <w:szCs w:val="18"/>
              </w:rPr>
              <w:t>郁金</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7</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丹参、甘草</w:t>
            </w:r>
            <w:r>
              <w:rPr>
                <w:sz w:val="18"/>
                <w:szCs w:val="18"/>
              </w:rPr>
              <w:sym w:font="Wingdings" w:char="F0E0"/>
            </w:r>
            <w:r>
              <w:rPr>
                <w:rFonts w:hint="eastAsia"/>
                <w:sz w:val="18"/>
                <w:szCs w:val="18"/>
              </w:rPr>
              <w:t>郁金</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.869</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8</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丹参</w:t>
            </w:r>
            <w:r>
              <w:rPr>
                <w:sz w:val="18"/>
                <w:szCs w:val="18"/>
              </w:rPr>
              <w:sym w:font="Wingdings" w:char="F0E0"/>
            </w:r>
            <w:r>
              <w:rPr>
                <w:rFonts w:hint="eastAsia"/>
                <w:sz w:val="18"/>
                <w:szCs w:val="18"/>
              </w:rPr>
              <w:t>柴胡</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8</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茯苓、郁金</w:t>
            </w:r>
            <w:r>
              <w:rPr>
                <w:sz w:val="18"/>
                <w:szCs w:val="18"/>
              </w:rPr>
              <w:sym w:font="Wingdings" w:char="F0E0"/>
            </w:r>
            <w:r>
              <w:rPr>
                <w:rFonts w:hint="eastAsia"/>
                <w:sz w:val="18"/>
                <w:szCs w:val="18"/>
              </w:rPr>
              <w:t>白术</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.863</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9</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茯苓</w:t>
            </w:r>
            <w:r>
              <w:rPr>
                <w:sz w:val="18"/>
                <w:szCs w:val="18"/>
              </w:rPr>
              <w:sym w:font="Wingdings" w:char="F0E0"/>
            </w:r>
            <w:r>
              <w:rPr>
                <w:rFonts w:hint="eastAsia"/>
                <w:sz w:val="18"/>
                <w:szCs w:val="18"/>
              </w:rPr>
              <w:t>白术</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9</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郁金</w:t>
            </w:r>
            <w:r>
              <w:rPr>
                <w:sz w:val="18"/>
                <w:szCs w:val="18"/>
              </w:rPr>
              <w:sym w:font="Wingdings" w:char="F0E0"/>
            </w:r>
            <w:r>
              <w:rPr>
                <w:rFonts w:hint="eastAsia"/>
                <w:sz w:val="18"/>
                <w:szCs w:val="18"/>
              </w:rPr>
              <w:t>茯苓</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.846</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0</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白术</w:t>
            </w:r>
            <w:r>
              <w:rPr>
                <w:sz w:val="18"/>
                <w:szCs w:val="18"/>
              </w:rPr>
              <w:sym w:font="Wingdings" w:char="F0E0"/>
            </w:r>
            <w:r>
              <w:rPr>
                <w:rFonts w:hint="eastAsia"/>
                <w:sz w:val="18"/>
                <w:szCs w:val="18"/>
              </w:rPr>
              <w:t>柴胡</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0</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泽泻</w:t>
            </w:r>
            <w:r>
              <w:rPr>
                <w:sz w:val="18"/>
                <w:szCs w:val="18"/>
              </w:rPr>
              <w:sym w:font="Wingdings" w:char="F0E0"/>
            </w:r>
            <w:r>
              <w:rPr>
                <w:rFonts w:hint="eastAsia"/>
                <w:sz w:val="18"/>
                <w:szCs w:val="18"/>
              </w:rPr>
              <w:t>丹参</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.807</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1</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泽泻</w:t>
            </w:r>
            <w:r>
              <w:rPr>
                <w:sz w:val="18"/>
                <w:szCs w:val="18"/>
              </w:rPr>
              <w:sym w:font="Wingdings" w:char="F0E0"/>
            </w:r>
            <w:r>
              <w:rPr>
                <w:rFonts w:hint="eastAsia"/>
                <w:sz w:val="18"/>
                <w:szCs w:val="18"/>
              </w:rPr>
              <w:t>甘草</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1</w:t>
            </w:r>
            <w:r>
              <w:rPr>
                <w:sz w:val="18"/>
                <w:szCs w:val="18"/>
              </w:rPr>
              <w:t>1</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丹参</w:t>
            </w:r>
            <w:r>
              <w:rPr>
                <w:sz w:val="18"/>
                <w:szCs w:val="18"/>
              </w:rPr>
              <w:sym w:font="Wingdings" w:char="F0E0"/>
            </w:r>
            <w:r>
              <w:rPr>
                <w:rFonts w:hint="eastAsia"/>
                <w:sz w:val="18"/>
                <w:szCs w:val="18"/>
              </w:rPr>
              <w:t>甘草</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.793</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2</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泽泻</w:t>
            </w:r>
            <w:r>
              <w:rPr>
                <w:sz w:val="18"/>
                <w:szCs w:val="18"/>
              </w:rPr>
              <w:sym w:font="Wingdings" w:char="F0E0"/>
            </w:r>
            <w:r>
              <w:rPr>
                <w:rFonts w:hint="eastAsia"/>
                <w:sz w:val="18"/>
                <w:szCs w:val="18"/>
              </w:rPr>
              <w:t>茯苓</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3</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白术</w:t>
            </w:r>
            <w:r>
              <w:rPr>
                <w:sz w:val="18"/>
                <w:szCs w:val="18"/>
              </w:rPr>
              <w:sym w:font="Wingdings" w:char="F0E0"/>
            </w:r>
            <w:r>
              <w:rPr>
                <w:rFonts w:hint="eastAsia"/>
                <w:sz w:val="18"/>
                <w:szCs w:val="18"/>
              </w:rPr>
              <w:t>郁金</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.730</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7</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丹参</w:t>
            </w:r>
            <w:r>
              <w:rPr>
                <w:sz w:val="18"/>
                <w:szCs w:val="18"/>
              </w:rPr>
              <w:sym w:font="Wingdings" w:char="F0E0"/>
            </w:r>
            <w:r>
              <w:rPr>
                <w:rFonts w:hint="eastAsia"/>
                <w:sz w:val="18"/>
                <w:szCs w:val="18"/>
              </w:rPr>
              <w:t>泽泻</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4</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郁金</w:t>
            </w:r>
            <w:r>
              <w:rPr>
                <w:sz w:val="18"/>
                <w:szCs w:val="18"/>
              </w:rPr>
              <w:sym w:font="Wingdings" w:char="F0E0"/>
            </w:r>
            <w:r>
              <w:rPr>
                <w:rFonts w:hint="eastAsia"/>
                <w:sz w:val="18"/>
                <w:szCs w:val="18"/>
              </w:rPr>
              <w:t>白术</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.730</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8</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甘草</w:t>
            </w:r>
            <w:r>
              <w:rPr>
                <w:sz w:val="18"/>
                <w:szCs w:val="18"/>
              </w:rPr>
              <w:sym w:font="Wingdings" w:char="F0E0"/>
            </w:r>
            <w:r>
              <w:rPr>
                <w:rFonts w:hint="eastAsia"/>
                <w:sz w:val="18"/>
                <w:szCs w:val="18"/>
              </w:rPr>
              <w:t>柴胡</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5</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白术</w:t>
            </w:r>
            <w:r>
              <w:rPr>
                <w:sz w:val="18"/>
                <w:szCs w:val="18"/>
              </w:rPr>
              <w:sym w:font="Wingdings" w:char="F0E0"/>
            </w:r>
            <w:r>
              <w:rPr>
                <w:rFonts w:hint="eastAsia"/>
                <w:sz w:val="18"/>
                <w:szCs w:val="18"/>
              </w:rPr>
              <w:t>茯苓、郁金</w:t>
            </w:r>
          </w:p>
        </w:tc>
        <w:tc>
          <w:tcPr>
            <w:tcW w:w="992" w:type="dxa"/>
            <w:tcBorders>
              <w:top w:val="nil"/>
              <w:left w:val="nil"/>
              <w:bottom w:val="nil"/>
            </w:tcBorders>
            <w:shd w:val="clear" w:color="auto" w:fill="auto"/>
            <w:vAlign w:val="center"/>
          </w:tcPr>
          <w:p>
            <w:pPr>
              <w:spacing w:line="400" w:lineRule="exact"/>
              <w:rPr>
                <w:sz w:val="18"/>
                <w:szCs w:val="18"/>
              </w:rPr>
            </w:pPr>
            <w:r>
              <w:rPr>
                <w:rFonts w:hint="eastAsia"/>
                <w:sz w:val="18"/>
                <w:szCs w:val="18"/>
              </w:rPr>
              <w:t>0</w:t>
            </w:r>
            <w:r>
              <w:rPr>
                <w:sz w:val="18"/>
                <w:szCs w:val="18"/>
              </w:rPr>
              <w:t>.730</w:t>
            </w:r>
          </w:p>
        </w:tc>
        <w:tc>
          <w:tcPr>
            <w:tcW w:w="709" w:type="dxa"/>
            <w:tcBorders>
              <w:top w:val="nil"/>
              <w:bottom w:val="nil"/>
              <w:right w:val="nil"/>
            </w:tcBorders>
            <w:shd w:val="clear" w:color="auto" w:fill="auto"/>
            <w:vAlign w:val="center"/>
          </w:tcPr>
          <w:p>
            <w:pPr>
              <w:spacing w:line="400" w:lineRule="exact"/>
              <w:rPr>
                <w:sz w:val="18"/>
                <w:szCs w:val="18"/>
              </w:rPr>
            </w:pPr>
            <w:r>
              <w:rPr>
                <w:rFonts w:hint="eastAsia"/>
                <w:sz w:val="18"/>
                <w:szCs w:val="18"/>
              </w:rPr>
              <w:t>2</w:t>
            </w:r>
            <w:r>
              <w:rPr>
                <w:sz w:val="18"/>
                <w:szCs w:val="18"/>
              </w:rPr>
              <w:t>9</w:t>
            </w:r>
          </w:p>
        </w:tc>
        <w:tc>
          <w:tcPr>
            <w:tcW w:w="1843"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决明子</w:t>
            </w:r>
            <w:r>
              <w:rPr>
                <w:sz w:val="18"/>
                <w:szCs w:val="18"/>
              </w:rPr>
              <w:sym w:font="Wingdings" w:char="F0E0"/>
            </w:r>
            <w:r>
              <w:rPr>
                <w:rFonts w:hint="eastAsia"/>
                <w:sz w:val="18"/>
                <w:szCs w:val="18"/>
              </w:rPr>
              <w:t>茯苓</w:t>
            </w:r>
          </w:p>
        </w:tc>
        <w:tc>
          <w:tcPr>
            <w:tcW w:w="992" w:type="dxa"/>
            <w:tcBorders>
              <w:top w:val="nil"/>
              <w:left w:val="nil"/>
              <w:bottom w:val="nil"/>
              <w:right w:val="nil"/>
            </w:tcBorders>
            <w:shd w:val="clear" w:color="auto" w:fill="auto"/>
            <w:vAlign w:val="center"/>
          </w:tcPr>
          <w:p>
            <w:pPr>
              <w:spacing w:line="400" w:lineRule="exact"/>
              <w:rPr>
                <w:sz w:val="18"/>
                <w:szCs w:val="18"/>
              </w:rPr>
            </w:pPr>
            <w:r>
              <w:rPr>
                <w:rFonts w:hint="eastAsia"/>
                <w:sz w:val="18"/>
                <w:szCs w:val="18"/>
              </w:rPr>
              <w:t>0</w:t>
            </w:r>
            <w:r>
              <w:rPr>
                <w:sz w:val="18"/>
                <w:szCs w:val="18"/>
              </w:rPr>
              <w:t>.714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nil"/>
              <w:left w:val="nil"/>
              <w:bottom w:val="single" w:color="auto" w:sz="18" w:space="0"/>
              <w:right w:val="nil"/>
            </w:tcBorders>
            <w:shd w:val="clear" w:color="auto" w:fill="auto"/>
            <w:vAlign w:val="center"/>
          </w:tcPr>
          <w:p>
            <w:pPr>
              <w:spacing w:line="400" w:lineRule="exact"/>
              <w:rPr>
                <w:sz w:val="18"/>
                <w:szCs w:val="18"/>
              </w:rPr>
            </w:pPr>
            <w:r>
              <w:rPr>
                <w:rFonts w:hint="eastAsia"/>
                <w:sz w:val="18"/>
                <w:szCs w:val="18"/>
              </w:rPr>
              <w:t>2</w:t>
            </w:r>
            <w:r>
              <w:rPr>
                <w:sz w:val="18"/>
                <w:szCs w:val="18"/>
              </w:rPr>
              <w:t>6</w:t>
            </w:r>
          </w:p>
        </w:tc>
        <w:tc>
          <w:tcPr>
            <w:tcW w:w="1843" w:type="dxa"/>
            <w:tcBorders>
              <w:top w:val="nil"/>
              <w:left w:val="nil"/>
              <w:bottom w:val="single" w:color="auto" w:sz="18" w:space="0"/>
              <w:right w:val="nil"/>
            </w:tcBorders>
            <w:shd w:val="clear" w:color="auto" w:fill="auto"/>
            <w:vAlign w:val="center"/>
          </w:tcPr>
          <w:p>
            <w:pPr>
              <w:spacing w:line="400" w:lineRule="exact"/>
              <w:rPr>
                <w:sz w:val="18"/>
                <w:szCs w:val="18"/>
              </w:rPr>
            </w:pPr>
            <w:r>
              <w:rPr>
                <w:rFonts w:hint="eastAsia"/>
                <w:sz w:val="18"/>
                <w:szCs w:val="18"/>
              </w:rPr>
              <w:t>郁金</w:t>
            </w:r>
            <w:r>
              <w:rPr>
                <w:sz w:val="18"/>
                <w:szCs w:val="18"/>
              </w:rPr>
              <w:sym w:font="Wingdings" w:char="F0E0"/>
            </w:r>
            <w:r>
              <w:rPr>
                <w:rFonts w:hint="eastAsia"/>
                <w:sz w:val="18"/>
                <w:szCs w:val="18"/>
              </w:rPr>
              <w:t>白术、茯苓</w:t>
            </w:r>
          </w:p>
        </w:tc>
        <w:tc>
          <w:tcPr>
            <w:tcW w:w="992" w:type="dxa"/>
            <w:tcBorders>
              <w:top w:val="nil"/>
              <w:left w:val="nil"/>
              <w:bottom w:val="single" w:color="auto" w:sz="18" w:space="0"/>
            </w:tcBorders>
            <w:shd w:val="clear" w:color="auto" w:fill="auto"/>
            <w:vAlign w:val="center"/>
          </w:tcPr>
          <w:p>
            <w:pPr>
              <w:spacing w:line="400" w:lineRule="exact"/>
              <w:rPr>
                <w:sz w:val="18"/>
                <w:szCs w:val="18"/>
              </w:rPr>
            </w:pPr>
            <w:r>
              <w:rPr>
                <w:rFonts w:hint="eastAsia"/>
                <w:sz w:val="18"/>
                <w:szCs w:val="18"/>
              </w:rPr>
              <w:t>0</w:t>
            </w:r>
            <w:r>
              <w:rPr>
                <w:sz w:val="18"/>
                <w:szCs w:val="18"/>
              </w:rPr>
              <w:t>.730</w:t>
            </w:r>
          </w:p>
        </w:tc>
        <w:tc>
          <w:tcPr>
            <w:tcW w:w="709" w:type="dxa"/>
            <w:tcBorders>
              <w:top w:val="nil"/>
              <w:bottom w:val="single" w:color="auto" w:sz="18" w:space="0"/>
              <w:right w:val="nil"/>
            </w:tcBorders>
            <w:shd w:val="clear" w:color="auto" w:fill="auto"/>
            <w:vAlign w:val="center"/>
          </w:tcPr>
          <w:p>
            <w:pPr>
              <w:spacing w:line="400" w:lineRule="exact"/>
              <w:rPr>
                <w:sz w:val="18"/>
                <w:szCs w:val="18"/>
              </w:rPr>
            </w:pPr>
          </w:p>
        </w:tc>
        <w:tc>
          <w:tcPr>
            <w:tcW w:w="1843" w:type="dxa"/>
            <w:tcBorders>
              <w:top w:val="nil"/>
              <w:left w:val="nil"/>
              <w:bottom w:val="single" w:color="auto" w:sz="18" w:space="0"/>
              <w:right w:val="nil"/>
            </w:tcBorders>
            <w:shd w:val="clear" w:color="auto" w:fill="auto"/>
            <w:vAlign w:val="center"/>
          </w:tcPr>
          <w:p>
            <w:pPr>
              <w:spacing w:line="400" w:lineRule="exact"/>
              <w:rPr>
                <w:sz w:val="18"/>
                <w:szCs w:val="18"/>
              </w:rPr>
            </w:pPr>
          </w:p>
        </w:tc>
        <w:tc>
          <w:tcPr>
            <w:tcW w:w="992" w:type="dxa"/>
            <w:tcBorders>
              <w:top w:val="nil"/>
              <w:left w:val="nil"/>
              <w:bottom w:val="single" w:color="auto" w:sz="18" w:space="0"/>
              <w:right w:val="nil"/>
            </w:tcBorders>
            <w:shd w:val="clear" w:color="auto" w:fill="auto"/>
            <w:vAlign w:val="center"/>
          </w:tcPr>
          <w:p>
            <w:pPr>
              <w:spacing w:line="400" w:lineRule="exact"/>
              <w:rPr>
                <w:sz w:val="18"/>
                <w:szCs w:val="18"/>
              </w:rPr>
            </w:pPr>
          </w:p>
        </w:tc>
      </w:tr>
    </w:tbl>
    <w:p>
      <w:pPr>
        <w:ind w:firstLine="420" w:firstLineChars="150"/>
        <w:rPr>
          <w:rFonts w:ascii="Times New Roman" w:hAnsi="仿宋" w:eastAsia="仿宋" w:cs="Times New Roman"/>
          <w:sz w:val="28"/>
          <w:szCs w:val="28"/>
        </w:rPr>
      </w:pPr>
      <w:bookmarkStart w:id="4" w:name="_Toc74140810"/>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3.2.3基于层次聚类的方剂组方规律研究</w:t>
      </w:r>
      <w:bookmarkEnd w:id="4"/>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基于层次聚类分析，计算处方之间的汉明距离，根据实际情况剪枝，共得核心处方</w:t>
      </w:r>
      <w:r>
        <w:rPr>
          <w:rFonts w:hint="eastAsia" w:ascii="Times New Roman" w:hAnsi="仿宋" w:eastAsia="仿宋" w:cs="Times New Roman"/>
          <w:color w:val="FF0000"/>
          <w:sz w:val="28"/>
          <w:szCs w:val="28"/>
        </w:rPr>
        <w:t>17</w:t>
      </w:r>
      <w:r>
        <w:rPr>
          <w:rFonts w:hint="eastAsia" w:ascii="Times New Roman" w:hAnsi="仿宋" w:eastAsia="仿宋" w:cs="Times New Roman"/>
          <w:sz w:val="28"/>
          <w:szCs w:val="28"/>
        </w:rPr>
        <w:t>例，如表</w:t>
      </w:r>
      <w:r>
        <w:rPr>
          <w:rFonts w:ascii="Times New Roman" w:hAnsi="仿宋" w:eastAsia="仿宋" w:cs="Times New Roman"/>
          <w:sz w:val="28"/>
          <w:szCs w:val="28"/>
        </w:rPr>
        <w:t>6</w:t>
      </w:r>
      <w:r>
        <w:rPr>
          <w:rFonts w:hint="eastAsia" w:ascii="Times New Roman" w:hAnsi="仿宋" w:eastAsia="仿宋" w:cs="Times New Roman"/>
          <w:sz w:val="28"/>
          <w:szCs w:val="28"/>
        </w:rPr>
        <w:t>所示。</w:t>
      </w:r>
    </w:p>
    <w:p>
      <w:pPr>
        <w:pStyle w:val="4"/>
        <w:jc w:val="center"/>
        <w:rPr>
          <w:rFonts w:ascii="Times New Roman" w:hAnsi="Times New Roman" w:eastAsia="宋体"/>
          <w:sz w:val="21"/>
          <w:szCs w:val="21"/>
        </w:rPr>
      </w:pPr>
      <w:r>
        <w:rPr>
          <w:rFonts w:hint="eastAsia" w:ascii="Times New Roman" w:hAnsi="Times New Roman" w:eastAsia="宋体"/>
          <w:sz w:val="21"/>
          <w:szCs w:val="21"/>
        </w:rPr>
        <w:t>表</w:t>
      </w:r>
      <w:r>
        <w:rPr>
          <w:rFonts w:ascii="Times New Roman" w:hAnsi="Times New Roman" w:eastAsia="宋体"/>
          <w:sz w:val="21"/>
          <w:szCs w:val="21"/>
        </w:rPr>
        <w:t xml:space="preserve">6 </w:t>
      </w:r>
      <w:r>
        <w:rPr>
          <w:rFonts w:hint="eastAsia" w:ascii="Times New Roman" w:hAnsi="Times New Roman" w:eastAsia="宋体"/>
          <w:sz w:val="21"/>
          <w:szCs w:val="21"/>
        </w:rPr>
        <w:t>基于层次聚类提取核心处方</w:t>
      </w:r>
    </w:p>
    <w:tbl>
      <w:tblPr>
        <w:tblStyle w:val="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751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18" w:space="0"/>
              <w:bottom w:val="single" w:color="auto" w:sz="4" w:space="0"/>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序号</w:t>
            </w:r>
          </w:p>
        </w:tc>
        <w:tc>
          <w:tcPr>
            <w:tcW w:w="7513" w:type="dxa"/>
            <w:tcBorders>
              <w:top w:val="single" w:color="auto" w:sz="18" w:space="0"/>
              <w:bottom w:val="single" w:color="auto" w:sz="4" w:space="0"/>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核心处方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jc w:val="center"/>
        </w:trPr>
        <w:tc>
          <w:tcPr>
            <w:tcW w:w="709" w:type="dxa"/>
            <w:tcBorders>
              <w:top w:val="single" w:color="auto" w:sz="4" w:space="0"/>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p>
        </w:tc>
        <w:tc>
          <w:tcPr>
            <w:tcW w:w="7513" w:type="dxa"/>
            <w:tcBorders>
              <w:top w:val="single" w:color="auto" w:sz="4" w:space="0"/>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三叶青、决明子、北沙参、川贝粉、枇杷叶、桑白皮、浙贝、玉米须、玉蝴蝶、甘草、生山楂、石膏、苦杏仁、蝉衣、麦冬、黄芩</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2</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丹参、决明子、制首乌、山楂碳、当归、柴胡、泽泻、海藻、甘草、白术（炒）、白芍（炒）、茯苓（小方块）、荷叶、郁金</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3</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丹参、佛手柑广、决明子、制首乌、山楂碳、当归、柴胡、泽泻、甘草、白术（炒）、白芍（炒）、茯苓（小方块）、薄荷、郁金</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4</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制大黄、半枝莲、川朴、柴胡、泽泻、炒麦芽、甘草、白芍（炒）、茴陈、虎杖、车前子、黄芩</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5</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丹参、决明子、半夏、枳壳、柴胡、生山楂、竹茹丝、绞股蓝、茯苓（小方块）、</w:t>
            </w:r>
            <w:r>
              <w:rPr>
                <w:rFonts w:hint="eastAsia" w:ascii="Times New Roman" w:hAnsi="Times New Roman"/>
                <w:color w:val="FF0000"/>
                <w:sz w:val="18"/>
                <w:szCs w:val="18"/>
              </w:rPr>
              <w:t>茵</w:t>
            </w:r>
            <w:r>
              <w:rPr>
                <w:rFonts w:hint="eastAsia" w:ascii="Times New Roman" w:hAnsi="Times New Roman"/>
                <w:sz w:val="18"/>
                <w:szCs w:val="18"/>
              </w:rPr>
              <w:t>陈、虎杖根、陈皮</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6</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丹参、决明子、当归、柴胡、泽泻、海藻、甘草、白术（炒）、茯苓（小方块）、荷叶、郁金</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7</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元胡、广金钱草、当归、石苇、茯苓（小方块）、赤芍、路路通、郁金、金铃子、陈皮</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8</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制大黄、木香、柴胡、焦山栀、白芍（炒）、紫金牛、</w:t>
            </w:r>
            <w:r>
              <w:rPr>
                <w:rFonts w:hint="eastAsia" w:ascii="Times New Roman" w:hAnsi="Times New Roman"/>
                <w:color w:val="FF0000"/>
                <w:sz w:val="18"/>
                <w:szCs w:val="18"/>
              </w:rPr>
              <w:t>茵</w:t>
            </w:r>
            <w:r>
              <w:rPr>
                <w:rFonts w:hint="eastAsia" w:ascii="Times New Roman" w:hAnsi="Times New Roman"/>
                <w:sz w:val="18"/>
                <w:szCs w:val="18"/>
              </w:rPr>
              <w:t>陈、虎杖、金钱草、黄芩</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9</w:t>
            </w:r>
          </w:p>
        </w:tc>
        <w:tc>
          <w:tcPr>
            <w:tcW w:w="7513" w:type="dxa"/>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决明子、焦山栀、生大黄、生山楂、白术（炒）、白蒺藜、茯苓（小方块）、茴陈、连翘、郁金</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bottom w:val="nil"/>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0</w:t>
            </w:r>
          </w:p>
        </w:tc>
        <w:tc>
          <w:tcPr>
            <w:tcW w:w="7513" w:type="dxa"/>
            <w:tcBorders>
              <w:bottom w:val="nil"/>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枸杞子、玫瑰花、甘草、绞股蓝、菊花、藏青果、金果榄、金银花、陈皮</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nil"/>
              <w:bottom w:val="nil"/>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1</w:t>
            </w:r>
          </w:p>
        </w:tc>
        <w:tc>
          <w:tcPr>
            <w:tcW w:w="7513" w:type="dxa"/>
            <w:tcBorders>
              <w:top w:val="nil"/>
              <w:bottom w:val="nil"/>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丹参、五味子（北）、六神曲、泽泻、炒山楂、焦山栀、紫金牛、</w:t>
            </w:r>
            <w:r>
              <w:rPr>
                <w:rFonts w:hint="eastAsia" w:ascii="Times New Roman" w:hAnsi="Times New Roman"/>
                <w:color w:val="FF0000"/>
                <w:sz w:val="18"/>
                <w:szCs w:val="18"/>
              </w:rPr>
              <w:t>茵</w:t>
            </w:r>
            <w:r>
              <w:rPr>
                <w:rFonts w:hint="eastAsia" w:ascii="Times New Roman" w:hAnsi="Times New Roman"/>
                <w:sz w:val="18"/>
                <w:szCs w:val="18"/>
              </w:rPr>
              <w:t>陈</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nil"/>
              <w:bottom w:val="nil"/>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7513" w:type="dxa"/>
            <w:tcBorders>
              <w:top w:val="nil"/>
              <w:bottom w:val="nil"/>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丹参、五味子（北）、甘草、紫金牛、葛根、郁金</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nil"/>
              <w:bottom w:val="nil"/>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3</w:t>
            </w:r>
          </w:p>
        </w:tc>
        <w:tc>
          <w:tcPr>
            <w:tcW w:w="7513" w:type="dxa"/>
            <w:tcBorders>
              <w:top w:val="nil"/>
              <w:bottom w:val="nil"/>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垂盆草、白术（炒）、茯苓（小方块）、车前子</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nil"/>
              <w:bottom w:val="nil"/>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4</w:t>
            </w:r>
          </w:p>
        </w:tc>
        <w:tc>
          <w:tcPr>
            <w:tcW w:w="7513" w:type="dxa"/>
            <w:tcBorders>
              <w:top w:val="nil"/>
              <w:bottom w:val="nil"/>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制首乌、桑叶、生山楂、绞股蓝</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nil"/>
              <w:bottom w:val="nil"/>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5</w:t>
            </w:r>
          </w:p>
        </w:tc>
        <w:tc>
          <w:tcPr>
            <w:tcW w:w="7513" w:type="dxa"/>
            <w:tcBorders>
              <w:top w:val="nil"/>
              <w:bottom w:val="nil"/>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枸杞子、绞股蓝、金银花</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nil"/>
              <w:bottom w:val="nil"/>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6</w:t>
            </w:r>
          </w:p>
        </w:tc>
        <w:tc>
          <w:tcPr>
            <w:tcW w:w="7513" w:type="dxa"/>
            <w:tcBorders>
              <w:top w:val="nil"/>
              <w:bottom w:val="nil"/>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color w:val="FF0000"/>
                <w:sz w:val="18"/>
                <w:szCs w:val="18"/>
              </w:rPr>
              <w:t>茵</w:t>
            </w:r>
            <w:r>
              <w:rPr>
                <w:rFonts w:hint="eastAsia" w:ascii="Times New Roman" w:hAnsi="Times New Roman"/>
                <w:sz w:val="18"/>
                <w:szCs w:val="18"/>
              </w:rPr>
              <w:t>陈、鸡内金（炒）、黄芪</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nil"/>
              <w:bottom w:val="single" w:color="auto" w:sz="18" w:space="0"/>
            </w:tcBorders>
            <w:shd w:val="clear" w:color="auto" w:fill="auto"/>
            <w:vAlign w:val="center"/>
          </w:tcPr>
          <w:p>
            <w:pPr>
              <w:spacing w:line="400" w:lineRule="exact"/>
              <w:jc w:val="center"/>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7</w:t>
            </w:r>
          </w:p>
        </w:tc>
        <w:tc>
          <w:tcPr>
            <w:tcW w:w="7513" w:type="dxa"/>
            <w:tcBorders>
              <w:top w:val="nil"/>
              <w:bottom w:val="single" w:color="auto" w:sz="18" w:space="0"/>
            </w:tcBorders>
            <w:shd w:val="clear" w:color="auto" w:fill="auto"/>
            <w:vAlign w:val="center"/>
          </w:tcPr>
          <w:p>
            <w:pPr>
              <w:spacing w:line="400" w:lineRule="exact"/>
              <w:rPr>
                <w:rFonts w:ascii="Times New Roman" w:hAnsi="Times New Roman"/>
                <w:sz w:val="18"/>
                <w:szCs w:val="18"/>
              </w:rPr>
            </w:pPr>
            <w:r>
              <w:rPr>
                <w:rFonts w:hint="eastAsia" w:ascii="Times New Roman" w:hAnsi="Times New Roman"/>
                <w:sz w:val="18"/>
                <w:szCs w:val="18"/>
              </w:rPr>
              <w:t>枸杞子、菊花</w:t>
            </w:r>
          </w:p>
        </w:tc>
      </w:tr>
    </w:tbl>
    <w:p>
      <w:pPr>
        <w:pStyle w:val="4"/>
        <w:jc w:val="center"/>
        <w:rPr>
          <w:rFonts w:ascii="Times New Roman" w:hAnsi="Times New Roman" w:eastAsia="宋体"/>
          <w:sz w:val="21"/>
          <w:szCs w:val="21"/>
        </w:rPr>
      </w:pP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3.3 慢性肝病中药治疗情况</w:t>
      </w:r>
    </w:p>
    <w:p>
      <w:pPr>
        <w:ind w:firstLine="420" w:firstLineChars="150"/>
        <w:rPr>
          <w:rFonts w:ascii="Times New Roman" w:hAnsi="仿宋" w:eastAsia="仿宋" w:cs="Times New Roman"/>
          <w:sz w:val="28"/>
          <w:szCs w:val="28"/>
        </w:rPr>
      </w:pPr>
      <w:r>
        <w:rPr>
          <w:rFonts w:ascii="Times New Roman" w:hAnsi="仿宋" w:eastAsia="仿宋" w:cs="Times New Roman"/>
          <w:sz w:val="28"/>
          <w:szCs w:val="28"/>
        </w:rPr>
        <w:t xml:space="preserve">3.3.1 </w:t>
      </w:r>
      <w:r>
        <w:rPr>
          <w:rFonts w:hint="eastAsia" w:ascii="Times New Roman" w:hAnsi="仿宋" w:eastAsia="仿宋" w:cs="Times New Roman"/>
          <w:sz w:val="28"/>
          <w:szCs w:val="28"/>
        </w:rPr>
        <w:t>中药治疗整体情况</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慢性肝病患者中，接受一次以上中药治疗患者共13826人，占所有患者比例24.15%。脂肪肝患者接受中药治疗比例为24.25%。（表7）</w:t>
      </w:r>
    </w:p>
    <w:p>
      <w:pPr>
        <w:pStyle w:val="4"/>
        <w:jc w:val="center"/>
        <w:rPr>
          <w:rFonts w:ascii="Times New Roman" w:hAnsi="Times New Roman" w:eastAsia="宋体"/>
          <w:sz w:val="21"/>
          <w:szCs w:val="21"/>
        </w:rPr>
      </w:pPr>
      <w:r>
        <w:rPr>
          <w:rFonts w:hint="eastAsia" w:ascii="Times New Roman" w:hAnsi="Times New Roman" w:eastAsia="宋体"/>
          <w:sz w:val="21"/>
          <w:szCs w:val="21"/>
        </w:rPr>
        <w:t>表7</w:t>
      </w:r>
      <w:r>
        <w:rPr>
          <w:rFonts w:ascii="Times New Roman" w:hAnsi="Times New Roman" w:eastAsia="宋体"/>
          <w:sz w:val="21"/>
          <w:szCs w:val="21"/>
        </w:rPr>
        <w:t xml:space="preserve"> </w:t>
      </w:r>
      <w:r>
        <w:rPr>
          <w:rFonts w:hint="eastAsia" w:ascii="Times New Roman" w:hAnsi="Times New Roman" w:eastAsia="宋体"/>
          <w:sz w:val="21"/>
          <w:szCs w:val="21"/>
        </w:rPr>
        <w:t xml:space="preserve"> 区域慢性肝病患者中药治疗整体情况</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1377"/>
        <w:gridCol w:w="1377"/>
        <w:gridCol w:w="1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Borders>
              <w:top w:val="single" w:color="auto" w:sz="18" w:space="0"/>
              <w:left w:val="nil"/>
              <w:bottom w:val="single" w:color="auto" w:sz="4" w:space="0"/>
              <w:right w:val="nil"/>
            </w:tcBorders>
            <w:shd w:val="clear" w:color="auto" w:fill="auto"/>
          </w:tcPr>
          <w:p>
            <w:pPr>
              <w:jc w:val="center"/>
              <w:rPr>
                <w:rFonts w:ascii="Times New Roman" w:hAnsi="Times New Roman"/>
                <w:sz w:val="18"/>
                <w:szCs w:val="18"/>
              </w:rPr>
            </w:pPr>
            <w:r>
              <w:rPr>
                <w:rFonts w:hint="eastAsia" w:ascii="Times New Roman" w:hAnsi="Times New Roman"/>
                <w:sz w:val="18"/>
                <w:szCs w:val="18"/>
              </w:rPr>
              <w:t>疾病名称</w:t>
            </w:r>
          </w:p>
        </w:tc>
        <w:tc>
          <w:tcPr>
            <w:tcW w:w="1377" w:type="dxa"/>
            <w:tcBorders>
              <w:top w:val="single" w:color="auto" w:sz="18" w:space="0"/>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患者总数</w:t>
            </w:r>
          </w:p>
        </w:tc>
        <w:tc>
          <w:tcPr>
            <w:tcW w:w="1377" w:type="dxa"/>
            <w:tcBorders>
              <w:top w:val="single" w:color="auto" w:sz="18" w:space="0"/>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中药治疗数</w:t>
            </w:r>
          </w:p>
        </w:tc>
        <w:tc>
          <w:tcPr>
            <w:tcW w:w="1377" w:type="dxa"/>
            <w:tcBorders>
              <w:top w:val="single" w:color="auto" w:sz="18" w:space="0"/>
              <w:left w:val="nil"/>
              <w:bottom w:val="single" w:color="auto" w:sz="8"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中药治疗比例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脂肪肝</w:t>
            </w:r>
          </w:p>
        </w:tc>
        <w:tc>
          <w:tcPr>
            <w:tcW w:w="1377"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26050 </w:t>
            </w:r>
          </w:p>
        </w:tc>
        <w:tc>
          <w:tcPr>
            <w:tcW w:w="1377"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6318</w:t>
            </w:r>
          </w:p>
        </w:tc>
        <w:tc>
          <w:tcPr>
            <w:tcW w:w="1377" w:type="dxa"/>
            <w:tcBorders>
              <w:top w:val="single" w:color="auto" w:sz="8" w:space="0"/>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24.25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肝功能异常</w:t>
            </w:r>
          </w:p>
        </w:tc>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13511 </w:t>
            </w:r>
          </w:p>
        </w:tc>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3225</w:t>
            </w:r>
          </w:p>
        </w:tc>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23.87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其他慢性肝病</w:t>
            </w:r>
          </w:p>
        </w:tc>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17697 </w:t>
            </w:r>
          </w:p>
        </w:tc>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4283</w:t>
            </w:r>
          </w:p>
        </w:tc>
        <w:tc>
          <w:tcPr>
            <w:tcW w:w="1377"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24.20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合计</w:t>
            </w:r>
          </w:p>
        </w:tc>
        <w:tc>
          <w:tcPr>
            <w:tcW w:w="1377"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57258 </w:t>
            </w:r>
          </w:p>
        </w:tc>
        <w:tc>
          <w:tcPr>
            <w:tcW w:w="1377"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13826 </w:t>
            </w:r>
          </w:p>
        </w:tc>
        <w:tc>
          <w:tcPr>
            <w:tcW w:w="1377"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24.15 </w:t>
            </w:r>
          </w:p>
        </w:tc>
      </w:tr>
    </w:tbl>
    <w:p>
      <w:pPr>
        <w:ind w:firstLine="420" w:firstLineChars="150"/>
        <w:rPr>
          <w:rFonts w:ascii="Times New Roman" w:hAnsi="仿宋" w:eastAsia="仿宋" w:cs="Times New Roman"/>
          <w:sz w:val="28"/>
          <w:szCs w:val="28"/>
        </w:rPr>
      </w:pPr>
    </w:p>
    <w:p>
      <w:pPr>
        <w:ind w:firstLine="420" w:firstLineChars="150"/>
        <w:rPr>
          <w:rFonts w:ascii="Times New Roman" w:hAnsi="仿宋" w:eastAsia="仿宋" w:cs="Times New Roman"/>
          <w:sz w:val="28"/>
          <w:szCs w:val="28"/>
        </w:rPr>
      </w:pPr>
      <w:r>
        <w:rPr>
          <w:rFonts w:ascii="Times New Roman" w:hAnsi="仿宋" w:eastAsia="仿宋" w:cs="Times New Roman"/>
          <w:sz w:val="28"/>
          <w:szCs w:val="28"/>
        </w:rPr>
        <w:t>3.3.</w:t>
      </w:r>
      <w:r>
        <w:rPr>
          <w:rFonts w:hint="eastAsia" w:ascii="Times New Roman" w:hAnsi="仿宋" w:eastAsia="仿宋" w:cs="Times New Roman"/>
          <w:sz w:val="28"/>
          <w:szCs w:val="28"/>
        </w:rPr>
        <w:t>2</w:t>
      </w:r>
      <w:r>
        <w:rPr>
          <w:rFonts w:ascii="Times New Roman" w:hAnsi="仿宋" w:eastAsia="仿宋" w:cs="Times New Roman"/>
          <w:sz w:val="28"/>
          <w:szCs w:val="28"/>
        </w:rPr>
        <w:t xml:space="preserve"> </w:t>
      </w:r>
      <w:r>
        <w:rPr>
          <w:rFonts w:hint="eastAsia" w:ascii="Times New Roman" w:hAnsi="仿宋" w:eastAsia="仿宋" w:cs="Times New Roman"/>
          <w:sz w:val="28"/>
          <w:szCs w:val="28"/>
        </w:rPr>
        <w:t>中药治疗分类情况</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慢性肝病治疗以补气类药物（甘草、白术、绞股蓝等）比例最高，占21.72%。各类药物治疗人数和比例见表8。</w:t>
      </w:r>
    </w:p>
    <w:p>
      <w:pPr>
        <w:pStyle w:val="4"/>
        <w:jc w:val="center"/>
        <w:rPr>
          <w:rFonts w:ascii="Times New Roman" w:hAnsi="Times New Roman" w:eastAsia="宋体"/>
          <w:sz w:val="21"/>
          <w:szCs w:val="21"/>
        </w:rPr>
      </w:pPr>
      <w:r>
        <w:rPr>
          <w:rFonts w:hint="eastAsia" w:ascii="Times New Roman" w:hAnsi="Times New Roman" w:eastAsia="宋体"/>
          <w:sz w:val="21"/>
          <w:szCs w:val="21"/>
        </w:rPr>
        <w:t>表8</w:t>
      </w:r>
      <w:r>
        <w:rPr>
          <w:rFonts w:ascii="Times New Roman" w:hAnsi="Times New Roman" w:eastAsia="宋体"/>
          <w:sz w:val="21"/>
          <w:szCs w:val="21"/>
        </w:rPr>
        <w:t xml:space="preserve"> </w:t>
      </w:r>
      <w:r>
        <w:rPr>
          <w:rFonts w:hint="eastAsia" w:ascii="Times New Roman" w:hAnsi="Times New Roman" w:eastAsia="宋体"/>
          <w:sz w:val="21"/>
          <w:szCs w:val="21"/>
        </w:rPr>
        <w:t xml:space="preserve"> 区域慢性肝病患者中药治疗整体情况</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6"/>
        <w:gridCol w:w="960"/>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single" w:color="auto" w:sz="18" w:space="0"/>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用药类型</w:t>
            </w:r>
          </w:p>
        </w:tc>
        <w:tc>
          <w:tcPr>
            <w:tcW w:w="960" w:type="dxa"/>
            <w:tcBorders>
              <w:top w:val="single" w:color="auto" w:sz="18" w:space="0"/>
              <w:left w:val="nil"/>
              <w:bottom w:val="single" w:color="auto" w:sz="4" w:space="0"/>
              <w:right w:val="nil"/>
            </w:tcBorders>
            <w:shd w:val="clear" w:color="auto" w:fill="auto"/>
            <w:vAlign w:val="center"/>
          </w:tcPr>
          <w:p>
            <w:pPr>
              <w:widowControl/>
              <w:jc w:val="left"/>
              <w:textAlignment w:val="center"/>
              <w:rPr>
                <w:rFonts w:ascii="Times New Roman" w:hAnsi="Times New Roman"/>
                <w:sz w:val="18"/>
                <w:szCs w:val="18"/>
              </w:rPr>
            </w:pPr>
            <w:r>
              <w:rPr>
                <w:rFonts w:hint="eastAsia" w:ascii="Times New Roman" w:hAnsi="Times New Roman"/>
                <w:sz w:val="18"/>
                <w:szCs w:val="18"/>
              </w:rPr>
              <w:t>治疗人数</w:t>
            </w:r>
          </w:p>
        </w:tc>
        <w:tc>
          <w:tcPr>
            <w:tcW w:w="1005" w:type="dxa"/>
            <w:tcBorders>
              <w:top w:val="single" w:color="auto" w:sz="18" w:space="0"/>
              <w:left w:val="nil"/>
              <w:bottom w:val="single" w:color="auto" w:sz="4" w:space="0"/>
              <w:right w:val="nil"/>
            </w:tcBorders>
            <w:shd w:val="clear" w:color="auto" w:fill="auto"/>
            <w:vAlign w:val="center"/>
          </w:tcPr>
          <w:p>
            <w:pPr>
              <w:widowControl/>
              <w:jc w:val="left"/>
              <w:textAlignment w:val="center"/>
              <w:rPr>
                <w:rFonts w:ascii="Times New Roman" w:hAnsi="Times New Roman"/>
                <w:sz w:val="18"/>
                <w:szCs w:val="18"/>
              </w:rPr>
            </w:pPr>
            <w:r>
              <w:rPr>
                <w:rFonts w:hint="eastAsia" w:ascii="Times New Roman" w:hAnsi="Times New Roman"/>
                <w:sz w:val="18"/>
                <w:szCs w:val="18"/>
              </w:rPr>
              <w:t>治疗比例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 补气类药物（甘草、白术、绞股蓝等）</w:t>
            </w:r>
          </w:p>
        </w:tc>
        <w:tc>
          <w:tcPr>
            <w:tcW w:w="960"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12434</w:t>
            </w:r>
          </w:p>
        </w:tc>
        <w:tc>
          <w:tcPr>
            <w:tcW w:w="1005"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21.72%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 发散风热药（薄荷、柴胡等）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2706</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4.73%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 利水消肿药（茯苓、泽泻等）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2303</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4.02%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 利湿退黄药（</w:t>
            </w:r>
            <w:r>
              <w:rPr>
                <w:rFonts w:hint="eastAsia" w:ascii="Times New Roman" w:hAnsi="Times New Roman"/>
                <w:color w:val="FF0000"/>
                <w:sz w:val="18"/>
                <w:szCs w:val="18"/>
              </w:rPr>
              <w:t>茵</w:t>
            </w:r>
            <w:r>
              <w:rPr>
                <w:rFonts w:hint="eastAsia" w:ascii="Times New Roman" w:hAnsi="Times New Roman"/>
                <w:sz w:val="18"/>
                <w:szCs w:val="18"/>
              </w:rPr>
              <w:t>陈、垂盆草、虎杖等）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1835</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3.20%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 清热泻火药（决明子、焦山栀等）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1019</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1.78%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6 活血调经药（丹参等）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2304</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4.02%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7 补血药（当归、白芍等）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1840</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3.21%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8 活血止痛药（郁金等）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1109</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1.94%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9 理气药（陈皮等）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1242</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2.17%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10 消食药（生山楂等）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391</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0.68%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11 清热燥湿药（黄芩等）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1907</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3.33%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12 补阴药（枸杞子等）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859</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1.50%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13 收涩药（荷叶、五味子等）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1306</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2.28%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14 清热化痰药（海藻等）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44</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15 清热解毒药（蒲公英等）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1171</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2.05%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16 攻下药（生大黄等）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85</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0.15%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17 止咳平喘药（紫金牛等）</w:t>
            </w:r>
          </w:p>
        </w:tc>
        <w:tc>
          <w:tcPr>
            <w:tcW w:w="96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368</w:t>
            </w:r>
          </w:p>
        </w:tc>
        <w:tc>
          <w:tcPr>
            <w:tcW w:w="100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0.64%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6"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18 化湿药（川朴等）</w:t>
            </w:r>
          </w:p>
        </w:tc>
        <w:tc>
          <w:tcPr>
            <w:tcW w:w="960"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316</w:t>
            </w:r>
          </w:p>
        </w:tc>
        <w:tc>
          <w:tcPr>
            <w:tcW w:w="1005"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0.55%  </w:t>
            </w:r>
          </w:p>
        </w:tc>
      </w:tr>
    </w:tbl>
    <w:p>
      <w:pPr>
        <w:ind w:firstLine="420" w:firstLineChars="150"/>
        <w:rPr>
          <w:rFonts w:ascii="Times New Roman" w:hAnsi="仿宋" w:eastAsia="仿宋" w:cs="Times New Roman"/>
          <w:sz w:val="28"/>
          <w:szCs w:val="28"/>
        </w:rPr>
      </w:pPr>
    </w:p>
    <w:p>
      <w:pPr>
        <w:ind w:firstLine="420" w:firstLineChars="150"/>
        <w:rPr>
          <w:rFonts w:ascii="Times New Roman" w:hAnsi="仿宋" w:eastAsia="仿宋" w:cs="Times New Roman"/>
          <w:sz w:val="28"/>
          <w:szCs w:val="28"/>
        </w:rPr>
      </w:pPr>
      <w:r>
        <w:rPr>
          <w:rFonts w:ascii="Times New Roman" w:hAnsi="仿宋" w:eastAsia="仿宋" w:cs="Times New Roman"/>
          <w:sz w:val="28"/>
          <w:szCs w:val="28"/>
        </w:rPr>
        <w:t>3.3.</w:t>
      </w:r>
      <w:r>
        <w:rPr>
          <w:rFonts w:hint="eastAsia" w:ascii="Times New Roman" w:hAnsi="仿宋" w:eastAsia="仿宋" w:cs="Times New Roman"/>
          <w:sz w:val="28"/>
          <w:szCs w:val="28"/>
        </w:rPr>
        <w:t>3</w:t>
      </w:r>
      <w:r>
        <w:rPr>
          <w:rFonts w:ascii="Times New Roman" w:hAnsi="仿宋" w:eastAsia="仿宋" w:cs="Times New Roman"/>
          <w:sz w:val="28"/>
          <w:szCs w:val="28"/>
        </w:rPr>
        <w:t xml:space="preserve"> </w:t>
      </w:r>
      <w:r>
        <w:rPr>
          <w:rFonts w:hint="eastAsia" w:ascii="Times New Roman" w:hAnsi="仿宋" w:eastAsia="仿宋" w:cs="Times New Roman"/>
          <w:sz w:val="28"/>
          <w:szCs w:val="28"/>
        </w:rPr>
        <w:t>各类中药治疗预后比较</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以肝硬化作为评价各类中药治疗慢性肝病预防的结局指标，排除在肝硬化发生后再使用中药的情况。结果发现使用任一中药组的肝硬化发生率（3.90%）低于未用中药组（6.51%），差异具有统计学意义（</w:t>
      </w:r>
      <w:r>
        <w:rPr>
          <w:rFonts w:hint="eastAsia" w:ascii="Symbol" w:hAnsi="Symbol" w:eastAsia="仿宋" w:cs="Symbol"/>
          <w:sz w:val="28"/>
          <w:szCs w:val="28"/>
        </w:rPr>
        <w:sym w:font="Symbol" w:char="0063"/>
      </w:r>
      <w:r>
        <w:rPr>
          <w:rFonts w:ascii="Symbol" w:hAnsi="Symbol" w:eastAsia="仿宋" w:cs="Symbol"/>
          <w:sz w:val="28"/>
          <w:szCs w:val="28"/>
          <w:vertAlign w:val="superscript"/>
        </w:rPr>
        <w:t></w:t>
      </w:r>
      <w:r>
        <w:rPr>
          <w:rFonts w:ascii="Symbol" w:hAnsi="Symbol" w:eastAsia="仿宋" w:cs="Symbol"/>
          <w:sz w:val="28"/>
          <w:szCs w:val="28"/>
        </w:rPr>
        <w:t>，</w:t>
      </w:r>
      <w:r>
        <w:rPr>
          <w:rFonts w:hint="eastAsia" w:ascii="Times New Roman" w:hAnsi="Times New Roman" w:eastAsia="仿宋" w:cs="Times New Roman"/>
          <w:sz w:val="28"/>
          <w:szCs w:val="28"/>
        </w:rPr>
        <w:t>P=0.000</w:t>
      </w:r>
      <w:r>
        <w:rPr>
          <w:rFonts w:hint="eastAsia" w:ascii="Times New Roman" w:hAnsi="仿宋" w:eastAsia="仿宋" w:cs="Times New Roman"/>
          <w:sz w:val="28"/>
          <w:szCs w:val="28"/>
        </w:rPr>
        <w:t>）。各类中药分组的肝硬化发生率中，补气（3.55%）、发散风热（4.69%）、利水消肿（4.97%）、利湿退黄（5.84%）、活血调经（5.81%）、消食（2.46%）、清热燥湿（4.50%）、补阴（5.61%）、清热化痰（3.85%）等药物肝硬化发生率低于未用中药组，差异具有统计学意义。其他中药组与未使用中药组比较，差异无统计学意义。（表9）</w:t>
      </w:r>
    </w:p>
    <w:p>
      <w:pPr>
        <w:pStyle w:val="4"/>
        <w:jc w:val="center"/>
        <w:rPr>
          <w:rFonts w:ascii="Times New Roman" w:hAnsi="Times New Roman" w:eastAsia="宋体"/>
          <w:sz w:val="21"/>
          <w:szCs w:val="21"/>
        </w:rPr>
      </w:pPr>
      <w:r>
        <w:rPr>
          <w:rFonts w:hint="eastAsia" w:ascii="Times New Roman" w:hAnsi="Times New Roman" w:eastAsia="宋体"/>
          <w:sz w:val="21"/>
          <w:szCs w:val="21"/>
        </w:rPr>
        <w:t>表9</w:t>
      </w:r>
      <w:r>
        <w:rPr>
          <w:rFonts w:ascii="Times New Roman" w:hAnsi="Times New Roman" w:eastAsia="宋体"/>
          <w:sz w:val="21"/>
          <w:szCs w:val="21"/>
        </w:rPr>
        <w:t xml:space="preserve"> </w:t>
      </w:r>
      <w:r>
        <w:rPr>
          <w:rFonts w:hint="eastAsia" w:ascii="Times New Roman" w:hAnsi="Times New Roman" w:eastAsia="宋体"/>
          <w:sz w:val="21"/>
          <w:szCs w:val="21"/>
        </w:rPr>
        <w:t xml:space="preserve"> 区域慢性肝病患者中药治疗预后比较</w:t>
      </w:r>
    </w:p>
    <w:tbl>
      <w:tblPr>
        <w:tblStyle w:val="11"/>
        <w:tblW w:w="89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8"/>
        <w:gridCol w:w="998"/>
        <w:gridCol w:w="1371"/>
        <w:gridCol w:w="810"/>
        <w:gridCol w:w="1020"/>
        <w:gridCol w:w="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single" w:color="auto" w:sz="18" w:space="0"/>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用药分组</w:t>
            </w:r>
          </w:p>
        </w:tc>
        <w:tc>
          <w:tcPr>
            <w:tcW w:w="998" w:type="dxa"/>
            <w:tcBorders>
              <w:top w:val="single" w:color="auto" w:sz="18" w:space="0"/>
              <w:left w:val="nil"/>
              <w:bottom w:val="single" w:color="auto" w:sz="4" w:space="0"/>
              <w:right w:val="nil"/>
            </w:tcBorders>
            <w:shd w:val="clear" w:color="auto" w:fill="auto"/>
            <w:vAlign w:val="center"/>
          </w:tcPr>
          <w:p>
            <w:pPr>
              <w:widowControl/>
              <w:jc w:val="center"/>
              <w:textAlignment w:val="center"/>
              <w:rPr>
                <w:rFonts w:ascii="Times New Roman" w:hAnsi="Times New Roman"/>
                <w:sz w:val="18"/>
                <w:szCs w:val="18"/>
              </w:rPr>
            </w:pPr>
            <w:r>
              <w:rPr>
                <w:rFonts w:hint="eastAsia" w:ascii="Times New Roman" w:hAnsi="Times New Roman"/>
                <w:sz w:val="18"/>
                <w:szCs w:val="18"/>
              </w:rPr>
              <w:t>发生肝硬化人数</w:t>
            </w:r>
          </w:p>
        </w:tc>
        <w:tc>
          <w:tcPr>
            <w:tcW w:w="1371" w:type="dxa"/>
            <w:tcBorders>
              <w:top w:val="single" w:color="auto" w:sz="18" w:space="0"/>
              <w:left w:val="nil"/>
              <w:bottom w:val="single" w:color="auto" w:sz="4" w:space="0"/>
              <w:right w:val="nil"/>
            </w:tcBorders>
            <w:shd w:val="clear" w:color="auto" w:fill="auto"/>
            <w:vAlign w:val="center"/>
          </w:tcPr>
          <w:p>
            <w:pPr>
              <w:widowControl/>
              <w:jc w:val="center"/>
              <w:textAlignment w:val="center"/>
              <w:rPr>
                <w:rFonts w:ascii="Times New Roman" w:hAnsi="Times New Roman"/>
                <w:sz w:val="18"/>
                <w:szCs w:val="18"/>
              </w:rPr>
            </w:pPr>
            <w:r>
              <w:rPr>
                <w:rFonts w:hint="eastAsia" w:ascii="Times New Roman" w:hAnsi="Times New Roman"/>
                <w:sz w:val="18"/>
                <w:szCs w:val="18"/>
              </w:rPr>
              <w:t>用药人数（排除肝硬化后再使用中药）</w:t>
            </w:r>
          </w:p>
        </w:tc>
        <w:tc>
          <w:tcPr>
            <w:tcW w:w="810" w:type="dxa"/>
            <w:tcBorders>
              <w:top w:val="single" w:color="auto" w:sz="18" w:space="0"/>
              <w:left w:val="nil"/>
              <w:bottom w:val="single" w:color="auto" w:sz="4" w:space="0"/>
              <w:right w:val="nil"/>
            </w:tcBorders>
            <w:shd w:val="clear" w:color="auto" w:fill="auto"/>
            <w:vAlign w:val="center"/>
          </w:tcPr>
          <w:p>
            <w:pPr>
              <w:widowControl/>
              <w:jc w:val="center"/>
              <w:textAlignment w:val="center"/>
              <w:rPr>
                <w:rFonts w:ascii="Times New Roman" w:hAnsi="Times New Roman"/>
                <w:sz w:val="18"/>
                <w:szCs w:val="18"/>
              </w:rPr>
            </w:pPr>
            <w:r>
              <w:rPr>
                <w:rFonts w:hint="eastAsia" w:ascii="Times New Roman" w:hAnsi="Times New Roman"/>
                <w:sz w:val="18"/>
                <w:szCs w:val="18"/>
              </w:rPr>
              <w:t>肝硬化发生率</w:t>
            </w:r>
          </w:p>
        </w:tc>
        <w:tc>
          <w:tcPr>
            <w:tcW w:w="1020" w:type="dxa"/>
            <w:tcBorders>
              <w:top w:val="single" w:color="auto" w:sz="18" w:space="0"/>
              <w:left w:val="nil"/>
              <w:bottom w:val="single" w:color="auto" w:sz="4" w:space="0"/>
              <w:right w:val="nil"/>
            </w:tcBorders>
            <w:shd w:val="clear" w:color="auto" w:fill="auto"/>
            <w:vAlign w:val="center"/>
          </w:tcPr>
          <w:p>
            <w:pPr>
              <w:widowControl/>
              <w:jc w:val="center"/>
              <w:textAlignment w:val="center"/>
              <w:rPr>
                <w:rFonts w:ascii="Times New Roman" w:hAnsi="Times New Roman"/>
                <w:sz w:val="18"/>
                <w:szCs w:val="18"/>
              </w:rPr>
            </w:pPr>
            <w:r>
              <w:rPr>
                <w:rFonts w:hint="eastAsia" w:ascii="Times New Roman" w:hAnsi="Times New Roman"/>
                <w:sz w:val="18"/>
                <w:szCs w:val="18"/>
              </w:rPr>
              <w:t>卡方值</w:t>
            </w:r>
            <w:r>
              <w:rPr>
                <w:rFonts w:hint="eastAsia" w:ascii="Symbol" w:hAnsi="Symbol" w:eastAsia="仿宋" w:cs="Symbol"/>
                <w:sz w:val="28"/>
                <w:szCs w:val="28"/>
              </w:rPr>
              <w:sym w:font="Symbol" w:char="0063"/>
            </w:r>
            <w:r>
              <w:rPr>
                <w:rFonts w:ascii="Symbol" w:hAnsi="Symbol" w:eastAsia="仿宋" w:cs="Symbol"/>
                <w:sz w:val="28"/>
                <w:szCs w:val="28"/>
                <w:vertAlign w:val="superscript"/>
              </w:rPr>
              <w:t></w:t>
            </w:r>
            <w:r>
              <w:rPr>
                <w:rFonts w:hint="eastAsia" w:ascii="Times New Roman" w:hAnsi="Times New Roman"/>
                <w:sz w:val="18"/>
                <w:szCs w:val="18"/>
              </w:rPr>
              <w:t>（校正）</w:t>
            </w:r>
          </w:p>
        </w:tc>
        <w:tc>
          <w:tcPr>
            <w:tcW w:w="795" w:type="dxa"/>
            <w:tcBorders>
              <w:top w:val="single" w:color="auto" w:sz="18" w:space="0"/>
              <w:left w:val="nil"/>
              <w:bottom w:val="single" w:color="auto" w:sz="4" w:space="0"/>
              <w:right w:val="nil"/>
            </w:tcBorders>
            <w:shd w:val="clear" w:color="auto" w:fill="auto"/>
            <w:vAlign w:val="center"/>
          </w:tcPr>
          <w:p>
            <w:pPr>
              <w:widowControl/>
              <w:jc w:val="center"/>
              <w:textAlignment w:val="center"/>
              <w:rPr>
                <w:rFonts w:ascii="Times New Roman" w:hAnsi="Times New Roman"/>
                <w:sz w:val="18"/>
                <w:szCs w:val="18"/>
              </w:rPr>
            </w:pPr>
            <w:r>
              <w:rPr>
                <w:rFonts w:hint="eastAsia" w:ascii="Times New Roman" w:hAnsi="Times New Roman"/>
                <w:sz w:val="18"/>
                <w:szCs w:val="18"/>
              </w:rPr>
              <w:t>P值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 补气类药物（甘草、白术、绞股蓝等）组</w:t>
            </w:r>
          </w:p>
        </w:tc>
        <w:tc>
          <w:tcPr>
            <w:tcW w:w="998"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432</w:t>
            </w:r>
          </w:p>
        </w:tc>
        <w:tc>
          <w:tcPr>
            <w:tcW w:w="1371"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12153</w:t>
            </w:r>
          </w:p>
        </w:tc>
        <w:tc>
          <w:tcPr>
            <w:tcW w:w="810"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3.55%</w:t>
            </w:r>
          </w:p>
        </w:tc>
        <w:tc>
          <w:tcPr>
            <w:tcW w:w="1020"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129.09 </w:t>
            </w:r>
          </w:p>
        </w:tc>
        <w:tc>
          <w:tcPr>
            <w:tcW w:w="795" w:type="dxa"/>
            <w:tcBorders>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 发散风热药（薄荷、柴胡等）组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109</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2322</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4.69%</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150.01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 利水消肿药（茯苓、泽泻等）组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95</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1912</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4.97%</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11.84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 利湿退黄药（</w:t>
            </w:r>
            <w:r>
              <w:rPr>
                <w:rFonts w:hint="eastAsia" w:ascii="Times New Roman" w:hAnsi="Times New Roman"/>
                <w:color w:val="FF0000"/>
                <w:sz w:val="18"/>
                <w:szCs w:val="18"/>
              </w:rPr>
              <w:t>茵</w:t>
            </w:r>
            <w:r>
              <w:rPr>
                <w:rFonts w:hint="eastAsia" w:ascii="Times New Roman" w:hAnsi="Times New Roman"/>
                <w:sz w:val="18"/>
                <w:szCs w:val="18"/>
              </w:rPr>
              <w:t>陈、垂盆草、虎杖等）组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88</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1507</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5.84%</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6.99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 清热泻火药（决明子、焦山栀等）组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22</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772</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2.85%</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0.98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0.322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6 活血调经药（丹参等）组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109</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1875</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5.81%</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16.27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7 补血药（当归、白芍等）组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78</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1455</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5.36%</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1.34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0.247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8 活血止痛药（郁金等）组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48</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842</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5.70%</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2.90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0.088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9 理气药（陈皮等）组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47</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1002</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4.69%</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0.77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0.380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10 消食药（生山楂等）组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7</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285</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2.46%</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5.08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0.024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11 清热燥湿药（黄芩等）组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71</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1578</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4.50%</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7.03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12 补阴药（枸杞子等）组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33</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588</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5.61%</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9.92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13 收涩药（荷叶、五味子等）组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30</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977</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3.07%</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0.63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0.426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14 清热化痰药（海藻等）组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26</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3.85%</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18.24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15 清热解毒药（蒲公英等）组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61</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906</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6.73%</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0.02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0.878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16 攻下药（生大黄等）组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57</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5.26%</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0.04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0.844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17 止咳平喘药（紫金牛等）组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17</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288</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5.90%</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0.01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0.909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18 化湿药（川朴等）组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229</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1.31%</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0.09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0.765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使用任一中药组</w:t>
            </w:r>
          </w:p>
        </w:tc>
        <w:tc>
          <w:tcPr>
            <w:tcW w:w="998"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539</w:t>
            </w:r>
          </w:p>
        </w:tc>
        <w:tc>
          <w:tcPr>
            <w:tcW w:w="1371"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13826</w:t>
            </w:r>
          </w:p>
        </w:tc>
        <w:tc>
          <w:tcPr>
            <w:tcW w:w="81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3.90%</w:t>
            </w:r>
          </w:p>
        </w:tc>
        <w:tc>
          <w:tcPr>
            <w:tcW w:w="1020"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129.09 </w:t>
            </w:r>
          </w:p>
        </w:tc>
        <w:tc>
          <w:tcPr>
            <w:tcW w:w="795" w:type="dxa"/>
            <w:tcBorders>
              <w:top w:val="nil"/>
              <w:left w:val="nil"/>
              <w:bottom w:val="nil"/>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 xml:space="preserve">0.000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8"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未用中药组</w:t>
            </w:r>
          </w:p>
        </w:tc>
        <w:tc>
          <w:tcPr>
            <w:tcW w:w="998"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2829</w:t>
            </w:r>
          </w:p>
        </w:tc>
        <w:tc>
          <w:tcPr>
            <w:tcW w:w="1371"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40603</w:t>
            </w:r>
          </w:p>
        </w:tc>
        <w:tc>
          <w:tcPr>
            <w:tcW w:w="810"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6.51%</w:t>
            </w:r>
          </w:p>
        </w:tc>
        <w:tc>
          <w:tcPr>
            <w:tcW w:w="1020"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w:t>
            </w:r>
          </w:p>
        </w:tc>
        <w:tc>
          <w:tcPr>
            <w:tcW w:w="795" w:type="dxa"/>
            <w:tcBorders>
              <w:top w:val="nil"/>
              <w:left w:val="nil"/>
              <w:bottom w:val="single" w:color="auto" w:sz="4" w:space="0"/>
              <w:right w:val="nil"/>
            </w:tcBorders>
            <w:shd w:val="clear" w:color="auto" w:fill="auto"/>
            <w:vAlign w:val="center"/>
          </w:tcPr>
          <w:p>
            <w:pPr>
              <w:jc w:val="center"/>
              <w:rPr>
                <w:rFonts w:ascii="Times New Roman" w:hAnsi="Times New Roman"/>
                <w:sz w:val="18"/>
                <w:szCs w:val="18"/>
              </w:rPr>
            </w:pPr>
            <w:r>
              <w:rPr>
                <w:rFonts w:hint="eastAsia" w:ascii="Times New Roman" w:hAnsi="Times New Roman"/>
                <w:sz w:val="18"/>
                <w:szCs w:val="18"/>
              </w:rPr>
              <w:t>-</w:t>
            </w:r>
          </w:p>
        </w:tc>
      </w:tr>
    </w:tbl>
    <w:p>
      <w:pPr>
        <w:ind w:firstLine="420" w:firstLineChars="150"/>
        <w:rPr>
          <w:rFonts w:ascii="Times New Roman" w:hAnsi="仿宋" w:eastAsia="仿宋" w:cs="Times New Roman"/>
          <w:sz w:val="28"/>
          <w:szCs w:val="28"/>
        </w:rPr>
      </w:pP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3.4 动物验证试验结果</w:t>
      </w:r>
    </w:p>
    <w:p>
      <w:pPr>
        <w:ind w:firstLine="420" w:firstLineChars="150"/>
        <w:rPr>
          <w:rFonts w:ascii="Times New Roman" w:hAnsi="仿宋" w:eastAsia="仿宋" w:cs="Times New Roman"/>
          <w:sz w:val="28"/>
          <w:szCs w:val="28"/>
        </w:rPr>
      </w:pPr>
      <w:bookmarkStart w:id="5" w:name="_Toc74140811"/>
      <w:r>
        <w:rPr>
          <w:rFonts w:hint="eastAsia" w:ascii="Times New Roman" w:hAnsi="仿宋" w:eastAsia="仿宋" w:cs="Times New Roman"/>
          <w:sz w:val="28"/>
          <w:szCs w:val="28"/>
        </w:rPr>
        <w:t>采用高脂饮食喂养建立高脂血症大鼠模型，分别验证了何首乌、乌药、荷叶、灵芝等药物在治疗高脂血症的作用，结果显示：（1）何首乌中富含 TSG 的部分 (TSGP) 显</w:t>
      </w:r>
      <w:r>
        <w:rPr>
          <w:rFonts w:hint="eastAsia" w:ascii="Times New Roman" w:hAnsi="仿宋" w:eastAsia="仿宋" w:cs="Times New Roman"/>
          <w:color w:val="FF0000"/>
          <w:sz w:val="28"/>
          <w:szCs w:val="28"/>
        </w:rPr>
        <w:t>著</w:t>
      </w:r>
      <w:r>
        <w:rPr>
          <w:rFonts w:hint="eastAsia" w:ascii="Times New Roman" w:hAnsi="仿宋" w:eastAsia="仿宋" w:cs="Times New Roman"/>
          <w:sz w:val="28"/>
          <w:szCs w:val="28"/>
        </w:rPr>
        <w:t>降低了血清总胆固醇和甘油三酯水平，以及肝脏游离脂肪酸、CYP2E1 mRNA和丙二醛水平，此外还可以减轻肝脏肿大和减轻肝脏脂肪变性。（2）乌药醇提物（LREE）对高脂饮食诱导的高脂血症具有改善作用,该作用可能与调节胆固醇逆转运（RCT）,促进胆固醇向肝脏内转运及向胆汁酸的转化,以及胆固醇和胆汁酸的肠道排泄有关。（3）荷叶对实验性NAFLD具有良好的拮抗作用;该作用与抗脂质过氧化及调节TXB2/6-keto-PGF1α平衡有关。（4）灵芝乙醇提取物（LREE）可以部分改善 ALD 大鼠的微生物群落失调，抑制炎症反应，减轻肝损伤。可通过法尼醇X受体（FXR）、顶端钠依赖性胆汁酸转运蛋白（ASBT）、有机溶质转运蛋白α（OST-α）和细胞色素P450家族7亚家族A成员增加胆汁酸重吸收并促进粪便排泄1 (CYP7A1) 从而恢复由高脂血症引起的异常胆汁酸代谢。</w:t>
      </w:r>
    </w:p>
    <w:p>
      <w:pPr>
        <w:numPr>
          <w:ilvl w:val="0"/>
          <w:numId w:val="0"/>
        </w:numPr>
        <w:spacing w:line="360" w:lineRule="auto"/>
        <w:ind w:firstLine="560" w:firstLineChars="200"/>
        <w:jc w:val="both"/>
        <w:rPr>
          <w:rFonts w:hint="default"/>
          <w:b/>
          <w:bCs/>
          <w:color w:val="0000FF"/>
          <w:sz w:val="24"/>
          <w:szCs w:val="24"/>
          <w:lang w:val="en-US" w:eastAsia="zh-CN"/>
        </w:rPr>
      </w:pPr>
      <w:r>
        <w:rPr>
          <w:rFonts w:hint="eastAsia" w:ascii="Times New Roman" w:hAnsi="仿宋" w:eastAsia="仿宋" w:cs="Times New Roman"/>
          <w:color w:val="0000FF"/>
          <w:sz w:val="28"/>
          <w:szCs w:val="28"/>
        </w:rPr>
        <w:t>3.</w:t>
      </w:r>
      <w:r>
        <w:rPr>
          <w:rFonts w:hint="eastAsia" w:ascii="Times New Roman" w:hAnsi="仿宋" w:eastAsia="仿宋" w:cs="Times New Roman"/>
          <w:color w:val="0000FF"/>
          <w:sz w:val="28"/>
          <w:szCs w:val="28"/>
          <w:lang w:val="en-US" w:eastAsia="zh-CN"/>
        </w:rPr>
        <w:t>5</w:t>
      </w:r>
      <w:r>
        <w:rPr>
          <w:rFonts w:hint="eastAsia" w:ascii="Times New Roman" w:hAnsi="仿宋" w:eastAsia="仿宋" w:cs="Times New Roman"/>
          <w:color w:val="0000FF"/>
          <w:sz w:val="28"/>
          <w:szCs w:val="28"/>
        </w:rPr>
        <w:t xml:space="preserve"> </w:t>
      </w:r>
      <w:r>
        <w:rPr>
          <w:rFonts w:hint="eastAsia" w:ascii="Times New Roman" w:hAnsi="仿宋" w:eastAsia="仿宋" w:cs="Times New Roman"/>
          <w:color w:val="0000FF"/>
          <w:sz w:val="28"/>
          <w:szCs w:val="28"/>
          <w:lang w:val="en-US" w:eastAsia="zh-CN"/>
        </w:rPr>
        <w:t>中医药治疗慢性肝病社会经济效益分析和存在的问题</w:t>
      </w:r>
    </w:p>
    <w:p>
      <w:pPr>
        <w:ind w:firstLine="420" w:firstLineChars="150"/>
        <w:rPr>
          <w:rFonts w:hint="default" w:ascii="Times New Roman" w:hAnsi="仿宋" w:eastAsia="仿宋" w:cs="Times New Roman"/>
          <w:color w:val="0000FF"/>
          <w:sz w:val="28"/>
          <w:szCs w:val="28"/>
          <w:lang w:eastAsia="zh-CN"/>
        </w:rPr>
      </w:pPr>
      <w:r>
        <w:rPr>
          <w:rFonts w:hint="eastAsia" w:ascii="Times New Roman" w:hAnsi="仿宋" w:eastAsia="仿宋" w:cs="Times New Roman"/>
          <w:color w:val="0000FF"/>
          <w:sz w:val="28"/>
          <w:szCs w:val="28"/>
          <w:lang w:val="en-US" w:eastAsia="zh-CN"/>
        </w:rPr>
        <w:t>经分析并查阅文献，</w:t>
      </w:r>
      <w:r>
        <w:rPr>
          <w:rFonts w:hint="default" w:ascii="Times New Roman" w:hAnsi="仿宋" w:eastAsia="仿宋" w:cs="Times New Roman"/>
          <w:color w:val="0000FF"/>
          <w:sz w:val="28"/>
          <w:szCs w:val="28"/>
          <w:lang w:eastAsia="zh-CN"/>
        </w:rPr>
        <w:t>中医药治疗慢性肝病在社会经济效益方面有以下优势：</w:t>
      </w:r>
    </w:p>
    <w:p>
      <w:pPr>
        <w:ind w:firstLine="420" w:firstLineChars="150"/>
        <w:rPr>
          <w:rFonts w:hint="default" w:ascii="Times New Roman" w:hAnsi="仿宋" w:eastAsia="仿宋" w:cs="Times New Roman"/>
          <w:color w:val="0000FF"/>
          <w:sz w:val="28"/>
          <w:szCs w:val="28"/>
          <w:lang w:eastAsia="zh-CN"/>
        </w:rPr>
      </w:pPr>
      <w:r>
        <w:rPr>
          <w:rFonts w:hint="eastAsia" w:ascii="Times New Roman" w:hAnsi="仿宋" w:eastAsia="仿宋" w:cs="Times New Roman"/>
          <w:color w:val="0000FF"/>
          <w:sz w:val="28"/>
          <w:szCs w:val="28"/>
          <w:lang w:val="en-US" w:eastAsia="zh-CN"/>
        </w:rPr>
        <w:t>1、</w:t>
      </w:r>
      <w:r>
        <w:rPr>
          <w:rFonts w:hint="default" w:ascii="Times New Roman" w:hAnsi="仿宋" w:eastAsia="仿宋" w:cs="Times New Roman"/>
          <w:color w:val="0000FF"/>
          <w:sz w:val="28"/>
          <w:szCs w:val="28"/>
          <w:lang w:eastAsia="zh-CN"/>
        </w:rPr>
        <w:t>降低医疗成本：慢性肝病是一种长期性疾病，西医治疗通常需要长期用药，费用较高。而中医药治疗可以通过辨证施治，针对患者不同的病情，采用中药、针灸等综合疗法，减少不必要的药物治疗和检查，从而减少医疗费用。研究表明，采用中医药治疗的慢性乙型肝炎患者，其总体医疗费用比采用西医治疗的患者少了22.57%。</w:t>
      </w:r>
    </w:p>
    <w:p>
      <w:pPr>
        <w:ind w:firstLine="420" w:firstLineChars="150"/>
        <w:rPr>
          <w:rFonts w:hint="default" w:ascii="Times New Roman" w:hAnsi="仿宋" w:eastAsia="仿宋" w:cs="Times New Roman"/>
          <w:color w:val="0000FF"/>
          <w:sz w:val="28"/>
          <w:szCs w:val="28"/>
          <w:lang w:eastAsia="zh-CN"/>
        </w:rPr>
      </w:pPr>
      <w:r>
        <w:rPr>
          <w:rFonts w:hint="eastAsia" w:ascii="Times New Roman" w:hAnsi="仿宋" w:eastAsia="仿宋" w:cs="Times New Roman"/>
          <w:color w:val="0000FF"/>
          <w:sz w:val="28"/>
          <w:szCs w:val="28"/>
          <w:lang w:val="en-US" w:eastAsia="zh-CN"/>
        </w:rPr>
        <w:t>2、</w:t>
      </w:r>
      <w:r>
        <w:rPr>
          <w:rFonts w:hint="default" w:ascii="Times New Roman" w:hAnsi="仿宋" w:eastAsia="仿宋" w:cs="Times New Roman"/>
          <w:color w:val="0000FF"/>
          <w:sz w:val="28"/>
          <w:szCs w:val="28"/>
          <w:lang w:eastAsia="zh-CN"/>
        </w:rPr>
        <w:t>降低患者生活成本：慢性肝病患者需要长期治疗和管理，西医治疗需要经常到医院就诊，费用高，且需要耗费大量时间。而中医药治疗可以让患者在家中进行治疗，减轻患者的生活负担。一项对乙型肝炎患者进行的研究表明，采用中医药治疗的患者平均住院日数为12.2天，而采用西医治疗的患者平均住院日数为16.1天。</w:t>
      </w:r>
      <w:r>
        <w:rPr>
          <w:rFonts w:hint="eastAsia" w:ascii="Times New Roman" w:hAnsi="仿宋" w:eastAsia="仿宋" w:cs="Times New Roman"/>
          <w:color w:val="0000FF"/>
          <w:sz w:val="28"/>
          <w:szCs w:val="28"/>
          <w:lang w:val="en-US" w:eastAsia="zh-CN"/>
        </w:rPr>
        <w:t>另一</w:t>
      </w:r>
      <w:r>
        <w:rPr>
          <w:rFonts w:hint="default" w:ascii="Times New Roman" w:hAnsi="仿宋" w:eastAsia="仿宋" w:cs="Times New Roman"/>
          <w:color w:val="0000FF"/>
          <w:sz w:val="28"/>
          <w:szCs w:val="28"/>
          <w:lang w:eastAsia="zh-CN"/>
        </w:rPr>
        <w:t>项针对慢性肝病患者的研究表明，采用中药治疗的患者相较于采用西药治疗的患者，其生活质量得分显著提高。</w:t>
      </w:r>
    </w:p>
    <w:p>
      <w:pPr>
        <w:ind w:firstLine="420" w:firstLineChars="150"/>
        <w:rPr>
          <w:rFonts w:hint="default" w:ascii="Times New Roman" w:hAnsi="仿宋" w:eastAsia="仿宋" w:cs="Times New Roman"/>
          <w:color w:val="0000FF"/>
          <w:sz w:val="28"/>
          <w:szCs w:val="28"/>
          <w:lang w:eastAsia="zh-CN"/>
        </w:rPr>
      </w:pPr>
      <w:r>
        <w:rPr>
          <w:rFonts w:hint="eastAsia" w:ascii="Times New Roman" w:hAnsi="仿宋" w:eastAsia="仿宋" w:cs="Times New Roman"/>
          <w:color w:val="0000FF"/>
          <w:sz w:val="28"/>
          <w:szCs w:val="28"/>
          <w:lang w:val="en-US" w:eastAsia="zh-CN"/>
        </w:rPr>
        <w:t>3、</w:t>
      </w:r>
      <w:r>
        <w:rPr>
          <w:rFonts w:hint="default" w:ascii="Times New Roman" w:hAnsi="仿宋" w:eastAsia="仿宋" w:cs="Times New Roman"/>
          <w:color w:val="0000FF"/>
          <w:sz w:val="28"/>
          <w:szCs w:val="28"/>
          <w:lang w:eastAsia="zh-CN"/>
        </w:rPr>
        <w:t>提高治疗效果：中医药治疗强调治疗原因和病因，从根本上治疗疾病，同时中药多种组方，辨证施治，可针对不同患者制定个性化治疗方案，提高治疗效果。研究表明，采用中医药治疗的慢性肝炎患者，其ALT、AST等指标的改善情况均优于采用西医治疗的患者。</w:t>
      </w:r>
    </w:p>
    <w:p>
      <w:pPr>
        <w:ind w:firstLine="420" w:firstLineChars="150"/>
        <w:rPr>
          <w:rFonts w:hint="default" w:ascii="Times New Roman" w:hAnsi="仿宋" w:eastAsia="仿宋" w:cs="Times New Roman"/>
          <w:color w:val="0000FF"/>
          <w:sz w:val="28"/>
          <w:szCs w:val="28"/>
          <w:lang w:eastAsia="zh-CN"/>
        </w:rPr>
      </w:pPr>
    </w:p>
    <w:p>
      <w:pPr>
        <w:ind w:firstLine="420" w:firstLineChars="150"/>
        <w:rPr>
          <w:rFonts w:hint="default" w:ascii="Times New Roman" w:hAnsi="仿宋" w:eastAsia="仿宋" w:cs="Times New Roman"/>
          <w:color w:val="0000FF"/>
          <w:sz w:val="28"/>
          <w:szCs w:val="28"/>
          <w:lang w:eastAsia="zh-CN"/>
        </w:rPr>
      </w:pPr>
      <w:r>
        <w:rPr>
          <w:rFonts w:hint="default" w:ascii="Times New Roman" w:hAnsi="仿宋" w:eastAsia="仿宋" w:cs="Times New Roman"/>
          <w:color w:val="0000FF"/>
          <w:sz w:val="28"/>
          <w:szCs w:val="28"/>
          <w:lang w:eastAsia="zh-CN"/>
        </w:rPr>
        <w:t>然而，中医药治疗慢性肝病也存在以下问题：</w:t>
      </w:r>
    </w:p>
    <w:p>
      <w:pPr>
        <w:ind w:firstLine="420" w:firstLineChars="150"/>
        <w:rPr>
          <w:rFonts w:hint="default" w:ascii="Times New Roman" w:hAnsi="仿宋" w:eastAsia="仿宋" w:cs="Times New Roman"/>
          <w:color w:val="0000FF"/>
          <w:sz w:val="28"/>
          <w:szCs w:val="28"/>
          <w:lang w:eastAsia="zh-CN"/>
        </w:rPr>
      </w:pPr>
      <w:r>
        <w:rPr>
          <w:rFonts w:hint="eastAsia" w:ascii="Times New Roman" w:hAnsi="仿宋" w:eastAsia="仿宋" w:cs="Times New Roman"/>
          <w:color w:val="0000FF"/>
          <w:sz w:val="28"/>
          <w:szCs w:val="28"/>
          <w:lang w:val="en-US" w:eastAsia="zh-CN"/>
        </w:rPr>
        <w:t>1、</w:t>
      </w:r>
      <w:r>
        <w:rPr>
          <w:rFonts w:hint="default" w:ascii="Times New Roman" w:hAnsi="仿宋" w:eastAsia="仿宋" w:cs="Times New Roman"/>
          <w:color w:val="0000FF"/>
          <w:sz w:val="28"/>
          <w:szCs w:val="28"/>
          <w:lang w:eastAsia="zh-CN"/>
        </w:rPr>
        <w:t>缺乏规范治疗流程：中医药治疗慢性肝病缺乏标准化的治疗流程和标准，导致不同医生治疗方法和药方不一致，且治疗效果难以评估。一项对江苏省中医药临床医生的调查发现，有超过60%的受访者认为他们的用药方案单一，约70%的受访者缺乏规范的诊疗流程，超过80%的受访者缺乏系统化的疗效评价方法</w:t>
      </w:r>
      <w:r>
        <w:rPr>
          <w:rFonts w:hint="eastAsia" w:ascii="Times New Roman" w:hAnsi="仿宋" w:eastAsia="仿宋" w:cs="Times New Roman"/>
          <w:color w:val="0000FF"/>
          <w:sz w:val="28"/>
          <w:szCs w:val="28"/>
          <w:lang w:eastAsia="zh-CN"/>
        </w:rPr>
        <w:t>。</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2、</w:t>
      </w:r>
      <w:r>
        <w:rPr>
          <w:rFonts w:hint="default" w:ascii="Times New Roman" w:hAnsi="仿宋" w:eastAsia="仿宋" w:cs="Times New Roman"/>
          <w:color w:val="0000FF"/>
          <w:sz w:val="28"/>
          <w:szCs w:val="28"/>
          <w:lang w:eastAsia="zh-CN"/>
        </w:rPr>
        <w:t>缺乏科学研究支持</w:t>
      </w:r>
      <w:r>
        <w:rPr>
          <w:rFonts w:hint="eastAsia" w:ascii="Times New Roman" w:hAnsi="仿宋" w:eastAsia="仿宋" w:cs="Times New Roman"/>
          <w:color w:val="0000FF"/>
          <w:sz w:val="28"/>
          <w:szCs w:val="28"/>
          <w:lang w:val="en-US" w:eastAsia="zh-CN"/>
        </w:rPr>
        <w:t>以及可信度</w:t>
      </w:r>
      <w:r>
        <w:rPr>
          <w:rFonts w:hint="default" w:ascii="Times New Roman" w:hAnsi="仿宋" w:eastAsia="仿宋" w:cs="Times New Roman"/>
          <w:color w:val="0000FF"/>
          <w:sz w:val="28"/>
          <w:szCs w:val="28"/>
          <w:lang w:eastAsia="zh-CN"/>
        </w:rPr>
        <w:t>：中医药治疗慢性肝病缺乏科学研究支持，治疗方案不够科学化，难以被广泛应用。</w:t>
      </w:r>
      <w:r>
        <w:rPr>
          <w:rFonts w:hint="eastAsia" w:ascii="Times New Roman" w:hAnsi="仿宋" w:eastAsia="仿宋" w:cs="Times New Roman"/>
          <w:color w:val="0000FF"/>
          <w:sz w:val="28"/>
          <w:szCs w:val="28"/>
          <w:lang w:val="en-US" w:eastAsia="zh-CN"/>
        </w:rPr>
        <w:t>这导致患者存在对中医药治疗不信任的情况。一项对中国南方某市慢性肝病患者的调查发现，只有不到一半的患者对中医药治疗的信任度较高，超过60%的患者对中药的不良反应缺乏了解，约75%的患者对中医药治疗的效果缺乏了解。</w:t>
      </w:r>
    </w:p>
    <w:p>
      <w:pPr>
        <w:ind w:firstLine="420" w:firstLineChars="150"/>
        <w:rPr>
          <w:rFonts w:hint="default"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3、安全性存疑：中医药因其理化成分极为复杂，往往难以明确对疾病有较好疗效的关键成分，与此同时，中医药中对人体有害的部分也较难发现和分析。一项研究发现，中国药典2015版收录的中药制剂中，有约35%的制剂存在缺陷，其中最常见的问题是有害杂质含量超标。</w:t>
      </w:r>
    </w:p>
    <w:p>
      <w:pPr>
        <w:ind w:firstLine="420" w:firstLineChars="150"/>
        <w:rPr>
          <w:rFonts w:hint="default" w:ascii="Times New Roman" w:hAnsi="仿宋" w:eastAsia="仿宋" w:cs="Times New Roman"/>
          <w:color w:val="0000FF"/>
          <w:sz w:val="28"/>
          <w:szCs w:val="28"/>
          <w:lang w:eastAsia="zh-CN"/>
        </w:rPr>
      </w:pPr>
      <w:r>
        <w:rPr>
          <w:rFonts w:hint="eastAsia" w:ascii="Times New Roman" w:hAnsi="仿宋" w:eastAsia="仿宋" w:cs="Times New Roman"/>
          <w:color w:val="0000FF"/>
          <w:sz w:val="28"/>
          <w:szCs w:val="28"/>
          <w:lang w:val="en-US" w:eastAsia="zh-CN"/>
        </w:rPr>
        <w:t>3、</w:t>
      </w:r>
      <w:r>
        <w:rPr>
          <w:rFonts w:hint="default" w:ascii="Times New Roman" w:hAnsi="仿宋" w:eastAsia="仿宋" w:cs="Times New Roman"/>
          <w:color w:val="0000FF"/>
          <w:sz w:val="28"/>
          <w:szCs w:val="28"/>
          <w:lang w:eastAsia="zh-CN"/>
        </w:rPr>
        <w:t>医保报销限制：中医药治疗在医保报销范围内受到限制，患者在接受治疗时需要承担更高的经济负担，影响了中医药治疗的推广和应用。</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3.6加强慢性肝病中医药治疗的对策</w:t>
      </w:r>
    </w:p>
    <w:p>
      <w:pPr>
        <w:ind w:firstLine="420" w:firstLineChars="150"/>
        <w:rPr>
          <w:rFonts w:hint="eastAsia" w:ascii="Times New Roman" w:hAnsi="仿宋" w:eastAsia="仿宋" w:cs="Times New Roman"/>
          <w:color w:val="0000FF"/>
          <w:sz w:val="28"/>
          <w:szCs w:val="28"/>
          <w:lang w:val="en-US" w:eastAsia="zh-CN"/>
        </w:rPr>
      </w:pPr>
      <w:r>
        <w:rPr>
          <w:rFonts w:hint="default" w:ascii="Times New Roman" w:hAnsi="仿宋" w:eastAsia="仿宋" w:cs="Times New Roman"/>
          <w:color w:val="0000FF"/>
          <w:sz w:val="28"/>
          <w:szCs w:val="28"/>
          <w:lang w:val="en-US" w:eastAsia="zh-CN"/>
        </w:rPr>
        <w:t>慢性肝病是一种持续存在并可能逐渐恶化的肝脏疾病</w:t>
      </w:r>
      <w:r>
        <w:rPr>
          <w:rFonts w:hint="eastAsia" w:ascii="Times New Roman" w:hAnsi="仿宋" w:eastAsia="仿宋" w:cs="Times New Roman"/>
          <w:color w:val="0000FF"/>
          <w:sz w:val="28"/>
          <w:szCs w:val="28"/>
          <w:lang w:val="en-US" w:eastAsia="zh-CN"/>
        </w:rPr>
        <w:t>，中医药在慢性肝病的治疗中具有其独特的、不可替代作用所在，为了进一步加大中医药在慢性肝病治疗中的重视程度、更好地发挥中医药治疗慢性肝病的效果，以下提出了5点对策：</w:t>
      </w:r>
    </w:p>
    <w:p>
      <w:pPr>
        <w:ind w:firstLine="420" w:firstLineChars="150"/>
        <w:rPr>
          <w:rFonts w:hint="default" w:ascii="Times New Roman" w:hAnsi="仿宋" w:eastAsia="仿宋" w:cs="Times New Roman"/>
          <w:color w:val="0000FF"/>
          <w:sz w:val="28"/>
          <w:szCs w:val="28"/>
          <w:lang w:val="en-US" w:eastAsia="zh-CN"/>
        </w:rPr>
      </w:pP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1、加强慢性肝病中医药治疗的宣传和普及：需要加强对患者的宣传教育，包括中医药治疗的基本原理、适应症、注意事项和预防措施等。患者需要知道，中医药治疗需要持之以恒，不能一两次就见效，需要长期坚持治疗才能达到良好的治疗效果。</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2、推广中医药辩证施治理念：针对不同类型的慢性肝病，采用不同的中医药治疗方案，强调辨证施治。例如，对于肝气郁结型慢性肝病，可以采用清肝健脾、疏肝解郁的中药方剂；对于脾虚湿阻型慢性肝病，可以采用益气健脾、化湿祛瘀的中药方剂。在治疗中要注意辨证论治，针对症状采取相应的中医药治疗方法。</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3、加强慢性肝病中医药治疗的规范化：在中医药治疗中，要遵循“四讲四不讲”的原则，即讲原则、讲方法、讲药物、讲预防，不讲虚假宣传、不讲违法行为、不讲药物过度依赖、不讲过度治疗。同时，中医药治疗需要严格按照医疗规范进行，避免滥用药物和不规范操作。</w:t>
      </w:r>
    </w:p>
    <w:p>
      <w:pPr>
        <w:ind w:firstLine="420" w:firstLineChars="150"/>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4、注重中西医结合，综合治疗：对于慢性肝病，中西医结合治疗更具有优势。中医药治疗可以通过调理气血、调整脏腑功能等方面，增强患者的免疫力和抵抗力；而西医药治疗可以通过抗病毒、减轻症状等方面，缓解患者病情。中西医结合治疗需要医生之间的密切协作，综合运用中西医药治疗手段，取长补短，提高治疗效果。</w:t>
      </w:r>
    </w:p>
    <w:p>
      <w:pPr>
        <w:ind w:firstLine="420" w:firstLineChars="150"/>
        <w:rPr>
          <w:rFonts w:hint="default"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5、</w:t>
      </w:r>
      <w:r>
        <w:rPr>
          <w:rFonts w:hint="default" w:ascii="Times New Roman" w:hAnsi="仿宋" w:eastAsia="仿宋" w:cs="Times New Roman"/>
          <w:color w:val="0000FF"/>
          <w:sz w:val="28"/>
          <w:szCs w:val="28"/>
          <w:lang w:val="en-US" w:eastAsia="zh-CN"/>
        </w:rPr>
        <w:t>加强慢性肝病中医药治疗的研究。对于中医药治疗慢性肝病的机理、方法、药物等进行深入研究，不断提高中医药治疗慢性肝病的水平和效果。</w:t>
      </w:r>
    </w:p>
    <w:p>
      <w:pPr>
        <w:ind w:firstLine="420" w:firstLineChars="150"/>
        <w:rPr>
          <w:rFonts w:hint="default" w:ascii="Times New Roman" w:hAnsi="仿宋" w:eastAsia="仿宋" w:cs="Times New Roman"/>
          <w:color w:val="0000FF"/>
          <w:sz w:val="28"/>
          <w:szCs w:val="28"/>
          <w:lang w:val="en-US" w:eastAsia="zh-CN"/>
        </w:rPr>
      </w:pPr>
    </w:p>
    <w:p>
      <w:pPr>
        <w:ind w:firstLine="420" w:firstLineChars="150"/>
        <w:rPr>
          <w:rFonts w:ascii="Times New Roman" w:hAnsi="Times New Roman" w:eastAsia="黑体" w:cs="Times New Roman"/>
          <w:b/>
          <w:bCs/>
          <w:color w:val="0000FF"/>
          <w:kern w:val="0"/>
          <w:sz w:val="28"/>
          <w:szCs w:val="28"/>
        </w:rPr>
      </w:pPr>
      <w:r>
        <w:rPr>
          <w:rFonts w:hint="default" w:ascii="Times New Roman" w:hAnsi="仿宋" w:eastAsia="仿宋" w:cs="Times New Roman"/>
          <w:color w:val="0000FF"/>
          <w:sz w:val="28"/>
          <w:szCs w:val="28"/>
          <w:lang w:val="en-US" w:eastAsia="zh-CN"/>
        </w:rPr>
        <w:t>总之，加强慢性肝病中医药治疗需要宣传普及、辩证施治、规范化、中西医结合和研究创新。这些措施将有助于提高慢性肝病中医药治疗的质量和效果。</w:t>
      </w:r>
    </w:p>
    <w:p>
      <w:pPr>
        <w:widowControl/>
        <w:jc w:val="left"/>
        <w:rPr>
          <w:rFonts w:ascii="Times New Roman" w:hAnsi="Times New Roman" w:eastAsia="黑体" w:cs="Times New Roman"/>
          <w:b/>
          <w:bCs/>
          <w:kern w:val="0"/>
          <w:sz w:val="28"/>
          <w:szCs w:val="28"/>
        </w:rPr>
      </w:pPr>
      <w:r>
        <w:rPr>
          <w:rFonts w:hint="eastAsia" w:ascii="Times New Roman" w:hAnsi="Times New Roman" w:eastAsia="黑体" w:cs="Times New Roman"/>
          <w:b/>
          <w:bCs/>
          <w:kern w:val="0"/>
          <w:sz w:val="28"/>
          <w:szCs w:val="28"/>
        </w:rPr>
        <w:t>4讨论</w:t>
      </w:r>
      <w:bookmarkEnd w:id="5"/>
    </w:p>
    <w:p>
      <w:pPr>
        <w:ind w:firstLine="420" w:firstLineChars="150"/>
        <w:rPr>
          <w:rFonts w:ascii="Times New Roman" w:hAnsi="仿宋" w:eastAsia="仿宋" w:cs="Times New Roman"/>
          <w:sz w:val="28"/>
          <w:szCs w:val="28"/>
        </w:rPr>
      </w:pPr>
      <w:bookmarkStart w:id="6" w:name="_Toc74140812"/>
      <w:r>
        <w:rPr>
          <w:rFonts w:hint="eastAsia" w:ascii="Times New Roman" w:hAnsi="仿宋" w:eastAsia="仿宋" w:cs="Times New Roman"/>
          <w:sz w:val="28"/>
          <w:szCs w:val="28"/>
        </w:rPr>
        <w:t>4.1从中医药角度</w:t>
      </w:r>
      <w:bookmarkEnd w:id="6"/>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素问·刺法论》提出了“正气存内，邪不可干”和“邪之所凑，其气必虚”等观点，说明正气有防御邪气入侵人体的作用。正气亏虚可导致疾病的发生。《金匮要略·脏腑经络先后病》里记载了“肝之病，补用酸，助用焦苦，益用甘味之药”的用药法则。关幼波亦提到慢性肝病以正气虚为主要矛盾，脏腑气血功能失调，导致机体防御功能减弱而无力抗邪，招致湿热再侵，造成因虚致病。</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肝脏与七情的关系最为紧密，如王孟英在《柳州医话》言:“七情之病，必从肝起。”情志致病，多伤及肝脏。因肝性条达，恶抑郁，主疏泄，调节全身的气机运行。故调理气机首先要以疏肝理气为主。理气药所占的比率也较大，从关联规则和聚类分析中得出陈皮也是使用较多的一组药物。它可行气而止痛。而现今治疗肝病，疏肝理气药不可或缺，然理气药物多辛温燥散，久用易耗气伤阴，中病即止[20]。</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在高频药物中茯苓具有平淡之性，补而不腻，利而不峻，既可祛邪，又可扶正，与他药配伍成对，无论属寒、热、虚、实，均可发挥功效。丹参具有活血通经、去淤止痛、清心除烦、安神止痉之能。白术具有除湿益燥，和中益气，具有益气健脾，止汗固表、安胎等多种药理作用。都是针对慢性肝病的中医药效具有良好效果的选择[21]。</w:t>
      </w:r>
    </w:p>
    <w:p>
      <w:pPr>
        <w:ind w:firstLine="420" w:firstLineChars="150"/>
        <w:rPr>
          <w:rFonts w:ascii="Times New Roman" w:hAnsi="仿宋" w:eastAsia="仿宋" w:cs="Times New Roman"/>
          <w:sz w:val="28"/>
          <w:szCs w:val="28"/>
        </w:rPr>
      </w:pPr>
      <w:bookmarkStart w:id="7" w:name="_Toc74140813"/>
      <w:r>
        <w:rPr>
          <w:rFonts w:hint="eastAsia" w:ascii="Times New Roman" w:hAnsi="仿宋" w:eastAsia="仿宋" w:cs="Times New Roman"/>
          <w:sz w:val="28"/>
          <w:szCs w:val="28"/>
        </w:rPr>
        <w:t>4.2从数据角度</w:t>
      </w:r>
      <w:bookmarkEnd w:id="7"/>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本次研究选择2008年-2020年区域建档人群进行数据分析，结果发现因慢性肝病就诊57258人，诊断患病率为5.20%，该数据与其他地区流行病学调查相比有较大差异，提示当地慢性肝病实际就诊率可能较低。数据分析同时发现，男性患者患病率高于女性，这与文献报道一致。</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受诊断能力及诊断习惯限制，临床慢性肝病诊断分类度不足。约50%的慢性肝病患者以“肝病”、“肝功能异常”等诊断为主。在脂肪肝诊断中，大部分也未经分类，几乎未见“酒精性脂肪肝”诊断。数据分析显示，脂肪肝在慢性肝病分类诊断中占比最大。</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在Apriori算法中，验证获得适宜的最小值尺度0.22，当支持度以低于0.22时药物组合过少，而支持度高于0.22时药物规则太多。从层次聚类分析算法来看，较适宜的剪枝次数设置为一次。就方剂中提取的处方结果来看，大部分的核心处方中都包含上述频次分析及规则分析中常用或者强规则的药物，故我们可以认为其结果具有一定的有效程度。分析结果提示，目前当地对于治疗慢性肝病使用中药的种类较少，可能是由于培训研究不足，或医生或患者对于中医药信任度仍不足。</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通过对处方目录</w:t>
      </w:r>
      <w:r>
        <w:rPr>
          <w:rFonts w:ascii="Times New Roman" w:hAnsi="仿宋" w:eastAsia="仿宋" w:cs="Times New Roman"/>
          <w:sz w:val="28"/>
          <w:szCs w:val="28"/>
        </w:rPr>
        <w:t>结果</w:t>
      </w:r>
      <w:r>
        <w:rPr>
          <w:rFonts w:hint="eastAsia" w:ascii="Times New Roman" w:hAnsi="仿宋" w:eastAsia="仿宋" w:cs="Times New Roman"/>
          <w:sz w:val="28"/>
          <w:szCs w:val="28"/>
        </w:rPr>
        <w:t>分析，大部分常用药物组合包含了甘草、丹参、白术、茯苓、柴胡几味药物，并且几味药物之间的关联程度基本为强关联。有理由认为，这几类药物对于慢性脂肪肝的治疗具有相对积极的作用。从这几味药的属性上来看，分属补气药（甘草、白术）、活血调经药（丹参）、利水消肿药（茯苓）、发散风热药（柴胡）。这与中医上认为的肝病的原因为正气亏虚与“气”不畅所对应，故我们认为数据具有有一定的效度。对于这几类药物，可以做更深入的研究，分析药物之间组合使用的利处与机理，挖掘出更深入的更有价值的内涵。</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在处方目录分析中我们获得了18类常用药物清单，我们以此为基础开展中药治疗预后分析。分析结果显示补气、发散风热、利水消肿、利湿退黄、活血调经、消食、清热燥湿、补阴、清热化痰等药物组的肝硬化发生率低于未使用中药组。提示上述药物对于控制慢性肝炎的病情发展、预防肝硬化并发症的发生具有效果。</w:t>
      </w: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采用大鼠模型验证何首乌、乌药、荷叶、灵芝等药物在治疗高脂血症的作用，结果提示上述药物的有效成份在降低血脂（何首乌、乌药）、减轻肝脏肿大和减轻肝脏脂肪变性（何首乌）、抗脂质过氧化（荷叶）、调节微生物群落（灵芝）、减轻肝损伤（灵芝）等方面具有效果。</w:t>
      </w:r>
    </w:p>
    <w:p>
      <w:pPr>
        <w:rPr>
          <w:rFonts w:ascii="Times New Roman" w:hAnsi="仿宋" w:eastAsia="仿宋" w:cs="Times New Roman"/>
          <w:sz w:val="28"/>
          <w:szCs w:val="28"/>
        </w:rPr>
      </w:pPr>
      <w:r>
        <w:rPr>
          <w:rFonts w:hint="eastAsia" w:ascii="Times New Roman" w:hAnsi="仿宋" w:eastAsia="仿宋" w:cs="Times New Roman"/>
          <w:sz w:val="28"/>
          <w:szCs w:val="28"/>
        </w:rPr>
        <w:t>（1）使用就诊数据估计人群患病情况，可能存在一定偏倚，需结合流行病学调查进行验证和补充。（2）诊疗数据中的诊断分类、处方目录仅代表当地的诊疗情况，代表性和规范性有待验证和强化。（3）本研究通过数据挖掘了获得了中药治疗慢性肝病的核心处方，可以在此基础上发展出有效的辅助工具，但目前其收益仍需进一步验证。</w:t>
      </w:r>
    </w:p>
    <w:p>
      <w:pPr>
        <w:numPr>
          <w:ilvl w:val="0"/>
          <w:numId w:val="1"/>
        </w:numPr>
        <w:spacing w:line="360" w:lineRule="auto"/>
        <w:jc w:val="both"/>
        <w:rPr>
          <w:rFonts w:hint="eastAsia" w:ascii="Times New Roman" w:hAnsi="Times New Roman" w:eastAsia="黑体" w:cs="Times New Roman"/>
          <w:b/>
          <w:bCs/>
          <w:kern w:val="0"/>
          <w:sz w:val="28"/>
          <w:szCs w:val="28"/>
          <w:lang w:val="en-US" w:eastAsia="zh-CN"/>
        </w:rPr>
      </w:pPr>
      <w:r>
        <w:rPr>
          <w:rFonts w:hint="eastAsia" w:ascii="Times New Roman" w:hAnsi="Times New Roman" w:eastAsia="黑体" w:cs="Times New Roman"/>
          <w:b/>
          <w:bCs/>
          <w:kern w:val="0"/>
          <w:sz w:val="28"/>
          <w:szCs w:val="28"/>
          <w:lang w:val="en-US" w:eastAsia="zh-CN"/>
        </w:rPr>
        <w:t>存在的问题</w:t>
      </w:r>
    </w:p>
    <w:p>
      <w:pPr>
        <w:numPr>
          <w:ilvl w:val="0"/>
          <w:numId w:val="0"/>
        </w:numPr>
        <w:spacing w:line="360" w:lineRule="auto"/>
        <w:jc w:val="both"/>
        <w:rPr>
          <w:rFonts w:hint="eastAsia" w:ascii="Times New Roman" w:hAnsi="仿宋" w:eastAsia="仿宋" w:cs="Times New Roman"/>
          <w:sz w:val="28"/>
          <w:szCs w:val="28"/>
          <w:lang w:eastAsia="zh-CN"/>
        </w:rPr>
      </w:pPr>
      <w:r>
        <w:rPr>
          <w:rFonts w:hint="eastAsia" w:ascii="Times New Roman" w:hAnsi="仿宋" w:eastAsia="仿宋" w:cs="Times New Roman"/>
          <w:sz w:val="28"/>
          <w:szCs w:val="28"/>
        </w:rPr>
        <w:t>本次研究是基于健康医疗大数据开展中医药研究的一次尝试，尚具有以下不足</w:t>
      </w:r>
      <w:r>
        <w:rPr>
          <w:rFonts w:hint="eastAsia" w:ascii="Times New Roman" w:hAnsi="仿宋" w:eastAsia="仿宋" w:cs="Times New Roman"/>
          <w:sz w:val="28"/>
          <w:szCs w:val="28"/>
          <w:lang w:eastAsia="zh-CN"/>
        </w:rPr>
        <w:t>：</w:t>
      </w:r>
    </w:p>
    <w:p>
      <w:pPr>
        <w:numPr>
          <w:ilvl w:val="0"/>
          <w:numId w:val="2"/>
        </w:numPr>
        <w:rPr>
          <w:rFonts w:hint="eastAsia" w:ascii="Times New Roman" w:hAnsi="仿宋" w:eastAsia="仿宋" w:cs="Times New Roman"/>
          <w:sz w:val="28"/>
          <w:szCs w:val="28"/>
        </w:rPr>
      </w:pPr>
      <w:r>
        <w:rPr>
          <w:rFonts w:hint="eastAsia" w:ascii="Times New Roman" w:hAnsi="仿宋" w:eastAsia="仿宋" w:cs="Times New Roman"/>
          <w:sz w:val="28"/>
          <w:szCs w:val="28"/>
        </w:rPr>
        <w:t>使用就诊数据估计人群患病情况，可能存在一定偏倚，需结合流行病学调查进行验证和补充。</w:t>
      </w:r>
    </w:p>
    <w:p>
      <w:pPr>
        <w:numPr>
          <w:ilvl w:val="0"/>
          <w:numId w:val="2"/>
        </w:numPr>
        <w:ind w:left="0" w:leftChars="0" w:firstLine="0" w:firstLineChars="0"/>
        <w:rPr>
          <w:rFonts w:hint="eastAsia" w:ascii="Times New Roman" w:hAnsi="仿宋" w:eastAsia="仿宋" w:cs="Times New Roman"/>
          <w:sz w:val="28"/>
          <w:szCs w:val="28"/>
        </w:rPr>
      </w:pPr>
      <w:r>
        <w:rPr>
          <w:rFonts w:hint="eastAsia" w:ascii="Times New Roman" w:hAnsi="仿宋" w:eastAsia="仿宋" w:cs="Times New Roman"/>
          <w:sz w:val="28"/>
          <w:szCs w:val="28"/>
        </w:rPr>
        <w:t>诊疗数据中的诊断分类、处方目录仅代表当地的诊疗情况，代表性和规范性有待验证和强化。</w:t>
      </w:r>
    </w:p>
    <w:p>
      <w:pPr>
        <w:numPr>
          <w:ilvl w:val="0"/>
          <w:numId w:val="0"/>
        </w:numPr>
        <w:ind w:leftChars="0"/>
        <w:rPr>
          <w:rFonts w:hint="eastAsia" w:ascii="Times New Roman" w:hAnsi="仿宋" w:eastAsia="仿宋" w:cs="Times New Roman"/>
          <w:sz w:val="28"/>
          <w:szCs w:val="28"/>
          <w:lang w:val="en-US" w:eastAsia="zh-CN"/>
        </w:rPr>
      </w:pPr>
      <w:r>
        <w:rPr>
          <w:rFonts w:hint="eastAsia" w:ascii="Times New Roman" w:hAnsi="仿宋" w:eastAsia="仿宋" w:cs="Times New Roman"/>
          <w:sz w:val="28"/>
          <w:szCs w:val="28"/>
        </w:rPr>
        <w:t>（3）本研究通过数据挖掘了获得了中药治疗慢性肝病的核心处方，可以在此基础上发展出有效的辅助工具，但目前其收益仍需进一步验证。</w:t>
      </w: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（4）由于对数据的操作全程在远程平台上完成，可使用的软件有限，对于某些指标的进一步处理存在不足之处。</w:t>
      </w:r>
    </w:p>
    <w:p>
      <w:pPr>
        <w:widowControl w:val="0"/>
        <w:numPr>
          <w:ilvl w:val="0"/>
          <w:numId w:val="0"/>
        </w:numPr>
        <w:jc w:val="both"/>
        <w:rPr>
          <w:rFonts w:hint="eastAsia"/>
          <w:b w:val="0"/>
          <w:bCs w:val="0"/>
          <w:color w:val="0000FF"/>
          <w:sz w:val="24"/>
          <w:szCs w:val="24"/>
          <w:lang w:val="en-US" w:eastAsia="zh-CN"/>
        </w:rPr>
      </w:pPr>
    </w:p>
    <w:p>
      <w:pPr>
        <w:widowControl w:val="0"/>
        <w:numPr>
          <w:ilvl w:val="0"/>
          <w:numId w:val="0"/>
        </w:numPr>
        <w:jc w:val="center"/>
        <w:rPr>
          <w:rFonts w:hint="eastAsia"/>
          <w:b w:val="0"/>
          <w:bCs w:val="0"/>
          <w:color w:val="0000FF"/>
          <w:sz w:val="24"/>
          <w:szCs w:val="24"/>
          <w:lang w:val="en-US" w:eastAsia="zh-CN"/>
        </w:rPr>
      </w:pPr>
      <w:r>
        <w:rPr>
          <w:rFonts w:hint="eastAsia"/>
          <w:b w:val="0"/>
          <w:bCs w:val="0"/>
          <w:color w:val="0000FF"/>
          <w:sz w:val="24"/>
          <w:szCs w:val="24"/>
          <w:lang w:val="en-US" w:eastAsia="zh-CN"/>
        </w:rPr>
        <w:drawing>
          <wp:inline distT="0" distB="0" distL="114300" distR="114300">
            <wp:extent cx="4093845" cy="6110605"/>
            <wp:effectExtent l="0" t="0" r="1905" b="4445"/>
            <wp:docPr id="3" name="图片 3" descr="167592788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75927882455"/>
                    <pic:cNvPicPr>
                      <a:picLocks noChangeAspect="1"/>
                    </pic:cNvPicPr>
                  </pic:nvPicPr>
                  <pic:blipFill>
                    <a:blip r:embed="rId4"/>
                    <a:stretch>
                      <a:fillRect/>
                    </a:stretch>
                  </pic:blipFill>
                  <pic:spPr>
                    <a:xfrm>
                      <a:off x="0" y="0"/>
                      <a:ext cx="4093845" cy="6110605"/>
                    </a:xfrm>
                    <a:prstGeom prst="rect">
                      <a:avLst/>
                    </a:prstGeom>
                  </pic:spPr>
                </pic:pic>
              </a:graphicData>
            </a:graphic>
          </wp:inline>
        </w:drawing>
      </w:r>
    </w:p>
    <w:p>
      <w:pPr>
        <w:widowControl w:val="0"/>
        <w:numPr>
          <w:ilvl w:val="0"/>
          <w:numId w:val="0"/>
        </w:numPr>
        <w:jc w:val="center"/>
        <w:rPr>
          <w:rFonts w:hint="eastAsia"/>
          <w:b w:val="0"/>
          <w:bCs w:val="0"/>
          <w:color w:val="0000FF"/>
          <w:sz w:val="24"/>
          <w:szCs w:val="24"/>
          <w:lang w:val="en-US" w:eastAsia="zh-CN"/>
        </w:rPr>
      </w:pP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5）数据库中的数据存在大量缺失、不准确等情况，例如数据库中身高数据几乎都集中在160、165、170这三个数值上，这给对数据的多维度提取带来了困难，同时数据存在一定的噪声，这可能会导致数据分析结果出现偏差。</w:t>
      </w:r>
    </w:p>
    <w:p>
      <w:pPr>
        <w:widowControl w:val="0"/>
        <w:numPr>
          <w:ilvl w:val="0"/>
          <w:numId w:val="0"/>
        </w:numPr>
        <w:ind w:leftChars="200"/>
        <w:jc w:val="center"/>
        <w:rPr>
          <w:rFonts w:hint="eastAsia"/>
          <w:b w:val="0"/>
          <w:bCs w:val="0"/>
          <w:color w:val="0000FF"/>
          <w:sz w:val="24"/>
          <w:szCs w:val="24"/>
          <w:lang w:val="en-US" w:eastAsia="zh-CN"/>
        </w:rPr>
      </w:pPr>
      <w:r>
        <w:rPr>
          <w:rFonts w:hint="eastAsia"/>
          <w:b w:val="0"/>
          <w:bCs w:val="0"/>
          <w:color w:val="0000FF"/>
          <w:sz w:val="24"/>
          <w:szCs w:val="24"/>
          <w:lang w:val="en-US" w:eastAsia="zh-CN"/>
        </w:rPr>
        <w:drawing>
          <wp:inline distT="0" distB="0" distL="114300" distR="114300">
            <wp:extent cx="687070" cy="1580515"/>
            <wp:effectExtent l="0" t="0" r="17780" b="635"/>
            <wp:docPr id="4" name="图片 4" descr="167592985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75929856061"/>
                    <pic:cNvPicPr>
                      <a:picLocks noChangeAspect="1"/>
                    </pic:cNvPicPr>
                  </pic:nvPicPr>
                  <pic:blipFill>
                    <a:blip r:embed="rId5"/>
                    <a:stretch>
                      <a:fillRect/>
                    </a:stretch>
                  </pic:blipFill>
                  <pic:spPr>
                    <a:xfrm>
                      <a:off x="0" y="0"/>
                      <a:ext cx="687070" cy="1580515"/>
                    </a:xfrm>
                    <a:prstGeom prst="rect">
                      <a:avLst/>
                    </a:prstGeom>
                  </pic:spPr>
                </pic:pic>
              </a:graphicData>
            </a:graphic>
          </wp:inline>
        </w:drawing>
      </w:r>
    </w:p>
    <w:p>
      <w:pPr>
        <w:widowControl w:val="0"/>
        <w:numPr>
          <w:ilvl w:val="0"/>
          <w:numId w:val="0"/>
        </w:numPr>
        <w:ind w:leftChars="200"/>
        <w:jc w:val="center"/>
        <w:rPr>
          <w:rFonts w:hint="eastAsia"/>
          <w:b w:val="0"/>
          <w:bCs w:val="0"/>
          <w:color w:val="0000FF"/>
          <w:sz w:val="24"/>
          <w:szCs w:val="24"/>
          <w:lang w:val="en-US" w:eastAsia="zh-CN"/>
        </w:rPr>
      </w:pP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（6）数据库中的指标的字段名以英文命名，在翻译成中文的时候可能会带来理解上的歧义。</w:t>
      </w:r>
    </w:p>
    <w:p>
      <w:pPr>
        <w:widowControl w:val="0"/>
        <w:numPr>
          <w:ilvl w:val="0"/>
          <w:numId w:val="0"/>
        </w:numPr>
        <w:ind w:leftChars="200"/>
        <w:jc w:val="center"/>
        <w:rPr>
          <w:rFonts w:hint="default"/>
          <w:b w:val="0"/>
          <w:bCs w:val="0"/>
          <w:color w:val="0000FF"/>
          <w:sz w:val="24"/>
          <w:szCs w:val="24"/>
          <w:lang w:val="en-US" w:eastAsia="zh-CN"/>
        </w:rPr>
      </w:pPr>
      <w:r>
        <w:rPr>
          <w:rFonts w:hint="default"/>
          <w:b w:val="0"/>
          <w:bCs w:val="0"/>
          <w:color w:val="0000FF"/>
          <w:sz w:val="24"/>
          <w:szCs w:val="24"/>
          <w:lang w:val="en-US" w:eastAsia="zh-CN"/>
        </w:rPr>
        <w:drawing>
          <wp:inline distT="0" distB="0" distL="114300" distR="114300">
            <wp:extent cx="2733675" cy="628650"/>
            <wp:effectExtent l="0" t="0" r="9525" b="0"/>
            <wp:docPr id="5" name="图片 5" descr="167593009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75930098716"/>
                    <pic:cNvPicPr>
                      <a:picLocks noChangeAspect="1"/>
                    </pic:cNvPicPr>
                  </pic:nvPicPr>
                  <pic:blipFill>
                    <a:blip r:embed="rId6"/>
                    <a:stretch>
                      <a:fillRect/>
                    </a:stretch>
                  </pic:blipFill>
                  <pic:spPr>
                    <a:xfrm>
                      <a:off x="0" y="0"/>
                      <a:ext cx="2733675" cy="628650"/>
                    </a:xfrm>
                    <a:prstGeom prst="rect">
                      <a:avLst/>
                    </a:prstGeom>
                  </pic:spPr>
                </pic:pic>
              </a:graphicData>
            </a:graphic>
          </wp:inline>
        </w:drawing>
      </w:r>
    </w:p>
    <w:p>
      <w:pPr>
        <w:widowControl w:val="0"/>
        <w:numPr>
          <w:ilvl w:val="0"/>
          <w:numId w:val="0"/>
        </w:numPr>
        <w:ind w:leftChars="200"/>
        <w:jc w:val="center"/>
        <w:rPr>
          <w:rFonts w:hint="default"/>
          <w:b w:val="0"/>
          <w:bCs w:val="0"/>
          <w:color w:val="0000FF"/>
          <w:sz w:val="24"/>
          <w:szCs w:val="24"/>
          <w:lang w:val="en-US" w:eastAsia="zh-CN"/>
        </w:rPr>
      </w:pP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7）数据库中肝病类型分类不完全且较为笼统，尚存在其他类型的肝病未纳入数据库中（见表1），无法对更精确的细分肝病类型进行分析，比如合同所要求分析的“酒精性肝病”和“非酒精性肝病”两类细分疾病，查阅肝病文献知这两类疾病应同属于数据库中“肝功能不全”这一诊断中，这说明基层医生对肝病的诊断主要在发现常见病这一方面，诊断深度尚待提高，需要给予更大的医疗资源支持、医疗知识宣教。</w:t>
      </w:r>
    </w:p>
    <w:p>
      <w:pPr>
        <w:widowControl w:val="0"/>
        <w:numPr>
          <w:ilvl w:val="0"/>
          <w:numId w:val="0"/>
        </w:numPr>
        <w:jc w:val="both"/>
        <w:rPr>
          <w:rFonts w:hint="eastAsia"/>
          <w:b w:val="0"/>
          <w:bCs w:val="0"/>
          <w:color w:val="0000FF"/>
          <w:sz w:val="24"/>
          <w:szCs w:val="24"/>
          <w:lang w:val="en-US" w:eastAsia="zh-CN"/>
        </w:rPr>
      </w:pPr>
    </w:p>
    <w:p>
      <w:pPr>
        <w:widowControl w:val="0"/>
        <w:numPr>
          <w:ilvl w:val="0"/>
          <w:numId w:val="0"/>
        </w:numPr>
        <w:jc w:val="both"/>
        <w:rPr>
          <w:rFonts w:hint="eastAsia"/>
          <w:b w:val="0"/>
          <w:bCs w:val="0"/>
          <w:color w:val="0000FF"/>
          <w:sz w:val="24"/>
          <w:szCs w:val="24"/>
          <w:lang w:val="en-US" w:eastAsia="zh-CN"/>
        </w:rPr>
      </w:pPr>
    </w:p>
    <w:p>
      <w:pPr>
        <w:widowControl w:val="0"/>
        <w:numPr>
          <w:ilvl w:val="0"/>
          <w:numId w:val="0"/>
        </w:numPr>
        <w:ind w:leftChars="200"/>
        <w:jc w:val="center"/>
        <w:rPr>
          <w:rFonts w:hint="eastAsia" w:ascii="Times New Roman" w:hAnsi="仿宋" w:eastAsia="仿宋" w:cs="Times New Roman"/>
          <w:color w:val="0000FF"/>
          <w:sz w:val="28"/>
          <w:szCs w:val="28"/>
          <w:lang w:val="en-US" w:eastAsia="zh-CN"/>
        </w:rPr>
      </w:pPr>
      <w:r>
        <w:rPr>
          <w:rFonts w:hint="eastAsia"/>
          <w:b w:val="0"/>
          <w:bCs w:val="0"/>
          <w:color w:val="0000FF"/>
          <w:sz w:val="24"/>
          <w:szCs w:val="24"/>
          <w:lang w:val="en-US" w:eastAsia="zh-CN"/>
        </w:rPr>
        <w:drawing>
          <wp:inline distT="0" distB="0" distL="114300" distR="114300">
            <wp:extent cx="1133475" cy="3171825"/>
            <wp:effectExtent l="0" t="0" r="9525" b="9525"/>
            <wp:docPr id="8" name="图片 8" descr="16759305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75930517632"/>
                    <pic:cNvPicPr>
                      <a:picLocks noChangeAspect="1"/>
                    </pic:cNvPicPr>
                  </pic:nvPicPr>
                  <pic:blipFill>
                    <a:blip r:embed="rId7"/>
                    <a:stretch>
                      <a:fillRect/>
                    </a:stretch>
                  </pic:blipFill>
                  <pic:spPr>
                    <a:xfrm>
                      <a:off x="0" y="0"/>
                      <a:ext cx="1133475" cy="3171825"/>
                    </a:xfrm>
                    <a:prstGeom prst="rect">
                      <a:avLst/>
                    </a:prstGeom>
                  </pic:spPr>
                </pic:pic>
              </a:graphicData>
            </a:graphic>
          </wp:inline>
        </w:drawing>
      </w: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8）在肝病的诊治过程中，发现肝病的中医诊断虽然类型不少，但诊断病例数量占比较小、中医用药相比西药更不常见，这说明目前我国对于中医药诊疗肝病方面尚存在较大的提高空间，对于中药治疗的研究不足，也可能是对于中医药的重视不够，因此加大在肝病的中医药治疗方面的研究投入是十分重要的，也需要医患之间更好的配合与理解，以期取得肝病的更好的疗效。</w:t>
      </w:r>
    </w:p>
    <w:p>
      <w:pPr>
        <w:widowControl w:val="0"/>
        <w:numPr>
          <w:ilvl w:val="0"/>
          <w:numId w:val="0"/>
        </w:numPr>
        <w:ind w:leftChars="200"/>
        <w:jc w:val="both"/>
        <w:rPr>
          <w:rFonts w:hint="eastAsia"/>
          <w:b w:val="0"/>
          <w:bCs w:val="0"/>
          <w:color w:val="0000FF"/>
          <w:sz w:val="24"/>
          <w:szCs w:val="24"/>
          <w:lang w:val="en-US" w:eastAsia="zh-CN"/>
        </w:rPr>
      </w:pPr>
    </w:p>
    <w:tbl>
      <w:tblPr>
        <w:tblStyle w:val="12"/>
        <w:tblW w:w="84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9"/>
        <w:gridCol w:w="3819"/>
        <w:gridCol w:w="2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tcBorders>
              <w:top w:val="single" w:color="auto" w:sz="18" w:space="0"/>
              <w:left w:val="single" w:color="FFFFFF" w:themeColor="background1" w:sz="2" w:space="0"/>
            </w:tcBorders>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icd编码</w:t>
            </w:r>
          </w:p>
        </w:tc>
        <w:tc>
          <w:tcPr>
            <w:tcW w:w="3819" w:type="dxa"/>
            <w:tcBorders>
              <w:top w:val="single" w:color="auto" w:sz="18" w:space="0"/>
              <w:right w:val="single" w:color="FFFFFF" w:themeColor="background1"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西医诊断</w:t>
            </w:r>
          </w:p>
        </w:tc>
        <w:tc>
          <w:tcPr>
            <w:tcW w:w="2413" w:type="dxa"/>
            <w:tcBorders>
              <w:top w:val="single" w:color="auto" w:sz="18" w:space="0"/>
              <w:right w:val="single" w:color="FFFFFF" w:themeColor="background1"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例数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9" w:hRule="atLeast"/>
        </w:trPr>
        <w:tc>
          <w:tcPr>
            <w:tcW w:w="2229" w:type="dxa"/>
            <w:tcBorders>
              <w:left w:val="single" w:color="FFFFFF" w:themeColor="background1" w:sz="2" w:space="0"/>
              <w:bottom w:val="single" w:color="auto" w:sz="18" w:space="0"/>
            </w:tcBorders>
          </w:tcPr>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R94.501</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K73.200</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K73.200*002</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C22.900</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K76.800*006</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B18.900*021</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B18.101</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B18.100</w:t>
            </w:r>
          </w:p>
          <w:p>
            <w:pPr>
              <w:widowControl w:val="0"/>
              <w:numPr>
                <w:ilvl w:val="0"/>
                <w:numId w:val="0"/>
              </w:numPr>
              <w:jc w:val="center"/>
              <w:rPr>
                <w:rFonts w:hint="eastAsia"/>
                <w:color w:val="0000FF"/>
                <w:vertAlign w:val="baseline"/>
                <w:lang w:val="en-US" w:eastAsia="zh-CN"/>
              </w:rPr>
            </w:pPr>
            <w:r>
              <w:rPr>
                <w:rFonts w:hint="eastAsia"/>
                <w:color w:val="0000FF"/>
                <w:vertAlign w:val="baseline"/>
                <w:lang w:val="en-US" w:eastAsia="zh-CN"/>
              </w:rPr>
              <w:t>D18.013</w:t>
            </w:r>
          </w:p>
          <w:p>
            <w:pPr>
              <w:widowControl w:val="0"/>
              <w:numPr>
                <w:ilvl w:val="0"/>
                <w:numId w:val="0"/>
              </w:numPr>
              <w:jc w:val="center"/>
              <w:rPr>
                <w:rFonts w:hint="default"/>
                <w:color w:val="0000FF"/>
                <w:vertAlign w:val="baseline"/>
                <w:lang w:val="en-US" w:eastAsia="zh-CN"/>
              </w:rPr>
            </w:pPr>
            <w:r>
              <w:rPr>
                <w:rFonts w:hint="eastAsia"/>
                <w:color w:val="0000FF"/>
                <w:vertAlign w:val="baseline"/>
                <w:lang w:val="en-US" w:eastAsia="zh-CN"/>
              </w:rPr>
              <w:t>K76.901</w:t>
            </w:r>
          </w:p>
        </w:tc>
        <w:tc>
          <w:tcPr>
            <w:tcW w:w="3819" w:type="dxa"/>
            <w:tcBorders>
              <w:bottom w:val="single" w:color="auto" w:sz="18" w:space="0"/>
              <w:right w:val="single" w:color="FFFFFF" w:themeColor="background1" w:sz="2" w:space="0"/>
            </w:tcBorders>
            <w:vAlign w:val="top"/>
          </w:tcPr>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肝功能异常</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慢性肝炎</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慢性活动性肝炎</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肝恶性肿瘤</w:t>
            </w:r>
          </w:p>
          <w:p>
            <w:pPr>
              <w:keepNext w:val="0"/>
              <w:keepLines w:val="0"/>
              <w:widowControl/>
              <w:suppressLineNumbers w:val="0"/>
              <w:jc w:val="center"/>
              <w:textAlignment w:val="center"/>
              <w:rPr>
                <w:rFonts w:hint="default"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肝功能不全</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慢性活动性病毒性肝炎</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慢性活动性乙型病毒性肝炎</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慢性乙型病毒性肝炎</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肝血管瘤</w:t>
            </w:r>
          </w:p>
          <w:p>
            <w:pPr>
              <w:keepNext w:val="0"/>
              <w:keepLines w:val="0"/>
              <w:widowControl/>
              <w:suppressLineNumbers w:val="0"/>
              <w:jc w:val="center"/>
              <w:textAlignment w:val="center"/>
              <w:rPr>
                <w:rFonts w:hint="default"/>
                <w:color w:val="0000FF"/>
                <w:vertAlign w:val="baseline"/>
                <w:lang w:val="en-US" w:eastAsia="zh-CN"/>
              </w:rPr>
            </w:pPr>
            <w:r>
              <w:rPr>
                <w:rFonts w:hint="eastAsia" w:ascii="等线" w:hAnsi="等线" w:eastAsia="等线" w:cs="等线"/>
                <w:b/>
                <w:bCs/>
                <w:i w:val="0"/>
                <w:iCs w:val="0"/>
                <w:color w:val="0000FF"/>
                <w:kern w:val="0"/>
                <w:sz w:val="18"/>
                <w:szCs w:val="18"/>
                <w:u w:val="none"/>
                <w:lang w:val="en-US" w:eastAsia="zh-CN" w:bidi="ar"/>
              </w:rPr>
              <w:t>肝肿物</w:t>
            </w:r>
          </w:p>
        </w:tc>
        <w:tc>
          <w:tcPr>
            <w:tcW w:w="2413" w:type="dxa"/>
            <w:tcBorders>
              <w:bottom w:val="single" w:color="auto" w:sz="18" w:space="0"/>
              <w:right w:val="single" w:color="FFFFFF" w:themeColor="background1" w:sz="2" w:space="0"/>
            </w:tcBorders>
            <w:vAlign w:val="top"/>
          </w:tcPr>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53613</w:t>
            </w:r>
          </w:p>
          <w:p>
            <w:pPr>
              <w:widowControl w:val="0"/>
              <w:numPr>
                <w:ilvl w:val="0"/>
                <w:numId w:val="0"/>
              </w:numPr>
              <w:ind w:left="0" w:leftChars="0" w:firstLine="0" w:firstLineChars="0"/>
              <w:jc w:val="center"/>
              <w:rPr>
                <w:rFonts w:hint="default"/>
                <w:color w:val="0000FF"/>
                <w:vertAlign w:val="baseline"/>
                <w:lang w:eastAsia="zh-CN"/>
              </w:rPr>
            </w:pPr>
            <w:r>
              <w:rPr>
                <w:rFonts w:hint="default"/>
                <w:color w:val="0000FF"/>
                <w:vertAlign w:val="baseline"/>
                <w:lang w:eastAsia="zh-CN"/>
              </w:rPr>
              <w:t>112752</w:t>
            </w:r>
          </w:p>
          <w:p>
            <w:pPr>
              <w:widowControl w:val="0"/>
              <w:numPr>
                <w:ilvl w:val="0"/>
                <w:numId w:val="0"/>
              </w:numPr>
              <w:ind w:left="0" w:leftChars="0" w:firstLine="0" w:firstLineChars="0"/>
              <w:jc w:val="center"/>
              <w:rPr>
                <w:rFonts w:hint="default"/>
                <w:color w:val="0000FF"/>
                <w:vertAlign w:val="baseline"/>
                <w:lang w:eastAsia="zh-CN"/>
              </w:rPr>
            </w:pPr>
            <w:r>
              <w:rPr>
                <w:rFonts w:hint="default"/>
                <w:color w:val="0000FF"/>
                <w:vertAlign w:val="baseline"/>
                <w:lang w:eastAsia="zh-CN"/>
              </w:rPr>
              <w:t>45826</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18260</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94741</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1930</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161768</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46569</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11551</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25355</w:t>
            </w:r>
          </w:p>
        </w:tc>
      </w:tr>
    </w:tbl>
    <w:p>
      <w:pPr>
        <w:pStyle w:val="4"/>
        <w:widowControl w:val="0"/>
        <w:numPr>
          <w:ilvl w:val="0"/>
          <w:numId w:val="0"/>
        </w:numPr>
        <w:jc w:val="center"/>
        <w:rPr>
          <w:rFonts w:hint="eastAsia"/>
          <w:color w:val="0000FF"/>
          <w:lang w:val="en-US" w:eastAsia="zh-CN"/>
        </w:rPr>
      </w:pPr>
      <w:r>
        <w:rPr>
          <w:rFonts w:hint="eastAsia"/>
          <w:color w:val="0000FF"/>
          <w:lang w:val="en-US" w:eastAsia="zh-CN"/>
        </w:rPr>
        <w:t>表1 数据库中所有西医肝病类型及其icd编码</w:t>
      </w:r>
    </w:p>
    <w:p>
      <w:pPr>
        <w:rPr>
          <w:rFonts w:hint="eastAsia"/>
          <w:color w:val="0000FF"/>
          <w:lang w:val="en-US" w:eastAsia="zh-CN"/>
        </w:rPr>
      </w:pPr>
    </w:p>
    <w:tbl>
      <w:tblPr>
        <w:tblStyle w:val="12"/>
        <w:tblW w:w="84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9"/>
        <w:gridCol w:w="3819"/>
        <w:gridCol w:w="2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tcBorders>
              <w:top w:val="single" w:color="auto" w:sz="18" w:space="0"/>
              <w:left w:val="single" w:color="FFFFFF" w:themeColor="background1" w:sz="2" w:space="0"/>
            </w:tcBorders>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中医疾病编码</w:t>
            </w:r>
          </w:p>
        </w:tc>
        <w:tc>
          <w:tcPr>
            <w:tcW w:w="3819" w:type="dxa"/>
            <w:tcBorders>
              <w:top w:val="single" w:color="auto" w:sz="18" w:space="0"/>
              <w:right w:val="single" w:color="FFFFFF" w:themeColor="background1"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中医诊断</w:t>
            </w:r>
          </w:p>
        </w:tc>
        <w:tc>
          <w:tcPr>
            <w:tcW w:w="2413" w:type="dxa"/>
            <w:tcBorders>
              <w:top w:val="single" w:color="auto" w:sz="18" w:space="0"/>
              <w:right w:val="single" w:color="FFFFFF" w:themeColor="background1"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例数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6" w:hRule="atLeast"/>
        </w:trPr>
        <w:tc>
          <w:tcPr>
            <w:tcW w:w="2229" w:type="dxa"/>
            <w:tcBorders>
              <w:left w:val="single" w:color="FFFFFF" w:themeColor="background1" w:sz="2" w:space="0"/>
              <w:bottom w:val="single" w:color="auto" w:sz="18" w:space="0"/>
            </w:tcBorders>
          </w:tcPr>
          <w:p>
            <w:pPr>
              <w:widowControl w:val="0"/>
              <w:numPr>
                <w:ilvl w:val="0"/>
                <w:numId w:val="0"/>
              </w:numPr>
              <w:ind w:left="0" w:leftChars="0" w:firstLine="0" w:firstLineChars="0"/>
              <w:jc w:val="center"/>
              <w:rPr>
                <w:rFonts w:hint="default"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ZZGM20</w:t>
            </w:r>
          </w:p>
          <w:p>
            <w:pPr>
              <w:widowControl w:val="0"/>
              <w:numPr>
                <w:ilvl w:val="0"/>
                <w:numId w:val="0"/>
              </w:numPr>
              <w:ind w:left="0" w:leftChars="0" w:firstLine="0" w:firstLineChars="0"/>
              <w:jc w:val="center"/>
              <w:rPr>
                <w:rFonts w:hint="default"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B04.06.02.05.03.03</w:t>
            </w:r>
          </w:p>
          <w:p>
            <w:pPr>
              <w:widowControl w:val="0"/>
              <w:numPr>
                <w:ilvl w:val="0"/>
                <w:numId w:val="0"/>
              </w:numPr>
              <w:ind w:left="0" w:leftChars="0" w:firstLine="0" w:firstLineChars="0"/>
              <w:jc w:val="center"/>
              <w:rPr>
                <w:rFonts w:hint="eastAsia"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B04.06.02.05.03.02</w:t>
            </w:r>
          </w:p>
          <w:p>
            <w:pPr>
              <w:widowControl w:val="0"/>
              <w:numPr>
                <w:ilvl w:val="0"/>
                <w:numId w:val="0"/>
              </w:numPr>
              <w:ind w:left="0" w:leftChars="0" w:firstLine="0" w:firstLineChars="0"/>
              <w:jc w:val="center"/>
              <w:rPr>
                <w:rFonts w:hint="eastAsia"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B04.06.02.03.03</w:t>
            </w:r>
          </w:p>
          <w:p>
            <w:pPr>
              <w:widowControl w:val="0"/>
              <w:numPr>
                <w:ilvl w:val="0"/>
                <w:numId w:val="0"/>
              </w:numPr>
              <w:ind w:left="0" w:leftChars="0" w:firstLine="0" w:firstLineChars="0"/>
              <w:jc w:val="center"/>
              <w:rPr>
                <w:rFonts w:hint="eastAsia"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B04.02.01.03.03</w:t>
            </w:r>
          </w:p>
          <w:p>
            <w:pPr>
              <w:widowControl w:val="0"/>
              <w:numPr>
                <w:ilvl w:val="0"/>
                <w:numId w:val="0"/>
              </w:numPr>
              <w:ind w:left="0" w:leftChars="0" w:firstLine="0" w:firstLineChars="0"/>
              <w:jc w:val="center"/>
              <w:rPr>
                <w:rFonts w:hint="eastAsia"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zyy.133</w:t>
            </w:r>
          </w:p>
          <w:p>
            <w:pPr>
              <w:widowControl w:val="0"/>
              <w:numPr>
                <w:ilvl w:val="0"/>
                <w:numId w:val="0"/>
              </w:numPr>
              <w:ind w:left="0" w:leftChars="0" w:firstLine="0" w:firstLineChars="0"/>
              <w:jc w:val="center"/>
              <w:rPr>
                <w:rFonts w:hint="eastAsia"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ZZGS10</w:t>
            </w:r>
          </w:p>
          <w:p>
            <w:pPr>
              <w:widowControl w:val="0"/>
              <w:numPr>
                <w:ilvl w:val="0"/>
                <w:numId w:val="0"/>
              </w:numPr>
              <w:ind w:left="0" w:leftChars="0" w:firstLine="0" w:firstLineChars="0"/>
              <w:jc w:val="center"/>
              <w:rPr>
                <w:rFonts w:hint="eastAsia" w:cstheme="minorBidi"/>
                <w:color w:val="0000FF"/>
                <w:kern w:val="2"/>
                <w:sz w:val="21"/>
                <w:szCs w:val="24"/>
                <w:vertAlign w:val="baseline"/>
                <w:lang w:val="en-US" w:eastAsia="zh-CN" w:bidi="ar-SA"/>
              </w:rPr>
            </w:pPr>
            <w:r>
              <w:rPr>
                <w:rFonts w:hint="eastAsia" w:cstheme="minorBidi"/>
                <w:color w:val="0000FF"/>
                <w:kern w:val="2"/>
                <w:sz w:val="21"/>
                <w:szCs w:val="24"/>
                <w:vertAlign w:val="baseline"/>
                <w:lang w:val="en-US" w:eastAsia="zh-CN" w:bidi="ar-SA"/>
              </w:rPr>
              <w:t>ZZGU12</w:t>
            </w:r>
          </w:p>
          <w:p>
            <w:pPr>
              <w:widowControl w:val="0"/>
              <w:numPr>
                <w:ilvl w:val="0"/>
                <w:numId w:val="0"/>
              </w:numPr>
              <w:jc w:val="center"/>
              <w:rPr>
                <w:rFonts w:hint="default"/>
                <w:color w:val="0000FF"/>
                <w:vertAlign w:val="baseline"/>
                <w:lang w:val="en-US" w:eastAsia="zh-CN"/>
              </w:rPr>
            </w:pPr>
            <w:r>
              <w:rPr>
                <w:rFonts w:hint="eastAsia" w:cstheme="minorBidi"/>
                <w:color w:val="0000FF"/>
                <w:kern w:val="2"/>
                <w:sz w:val="21"/>
                <w:szCs w:val="24"/>
                <w:vertAlign w:val="baseline"/>
                <w:lang w:val="en-US" w:eastAsia="zh-CN" w:bidi="ar-SA"/>
              </w:rPr>
              <w:t>ZZGV30</w:t>
            </w:r>
          </w:p>
        </w:tc>
        <w:tc>
          <w:tcPr>
            <w:tcW w:w="3819" w:type="dxa"/>
            <w:tcBorders>
              <w:bottom w:val="single" w:color="auto" w:sz="18" w:space="0"/>
              <w:right w:val="single" w:color="FFFFFF" w:themeColor="background1" w:sz="2" w:space="0"/>
            </w:tcBorders>
            <w:vAlign w:val="top"/>
          </w:tcPr>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肝胆湿热证</w:t>
            </w:r>
          </w:p>
          <w:p>
            <w:pPr>
              <w:keepNext w:val="0"/>
              <w:keepLines w:val="0"/>
              <w:widowControl/>
              <w:suppressLineNumbers w:val="0"/>
              <w:jc w:val="center"/>
              <w:textAlignment w:val="center"/>
              <w:rPr>
                <w:rFonts w:hint="default"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肝肾阴虚证</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肝肾亏虚证</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肝脾两虚证</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肝阴虚证</w:t>
            </w:r>
          </w:p>
          <w:p>
            <w:pPr>
              <w:keepNext w:val="0"/>
              <w:keepLines w:val="0"/>
              <w:widowControl/>
              <w:suppressLineNumbers w:val="0"/>
              <w:jc w:val="center"/>
              <w:textAlignment w:val="center"/>
              <w:rPr>
                <w:rFonts w:hint="eastAsia"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肝肾阴亏证</w:t>
            </w:r>
          </w:p>
          <w:p>
            <w:pPr>
              <w:keepNext w:val="0"/>
              <w:keepLines w:val="0"/>
              <w:widowControl/>
              <w:suppressLineNumbers w:val="0"/>
              <w:jc w:val="center"/>
              <w:textAlignment w:val="center"/>
              <w:rPr>
                <w:rFonts w:hint="default"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肝肾不足证</w:t>
            </w:r>
          </w:p>
          <w:p>
            <w:pPr>
              <w:keepNext w:val="0"/>
              <w:keepLines w:val="0"/>
              <w:widowControl/>
              <w:suppressLineNumbers w:val="0"/>
              <w:jc w:val="center"/>
              <w:textAlignment w:val="center"/>
              <w:rPr>
                <w:rFonts w:hint="default" w:ascii="等线" w:hAnsi="等线" w:eastAsia="等线" w:cs="等线"/>
                <w:b/>
                <w:bCs/>
                <w:i w:val="0"/>
                <w:iCs w:val="0"/>
                <w:color w:val="0000FF"/>
                <w:kern w:val="0"/>
                <w:sz w:val="18"/>
                <w:szCs w:val="18"/>
                <w:u w:val="none"/>
                <w:lang w:val="en-US" w:eastAsia="zh-CN" w:bidi="ar"/>
              </w:rPr>
            </w:pPr>
            <w:r>
              <w:rPr>
                <w:rFonts w:hint="eastAsia" w:ascii="等线" w:hAnsi="等线" w:eastAsia="等线" w:cs="等线"/>
                <w:b/>
                <w:bCs/>
                <w:i w:val="0"/>
                <w:iCs w:val="0"/>
                <w:color w:val="0000FF"/>
                <w:kern w:val="0"/>
                <w:sz w:val="18"/>
                <w:szCs w:val="18"/>
                <w:u w:val="none"/>
                <w:lang w:val="en-US" w:eastAsia="zh-CN" w:bidi="ar"/>
              </w:rPr>
              <w:t>肝火旺盛证</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ascii="等线" w:hAnsi="等线" w:eastAsia="等线" w:cs="等线"/>
                <w:b/>
                <w:bCs/>
                <w:i w:val="0"/>
                <w:iCs w:val="0"/>
                <w:color w:val="0000FF"/>
                <w:kern w:val="0"/>
                <w:sz w:val="18"/>
                <w:szCs w:val="18"/>
                <w:u w:val="none"/>
                <w:lang w:val="en-US" w:eastAsia="zh-CN" w:bidi="ar"/>
              </w:rPr>
              <w:t>肝气犯胃证</w:t>
            </w:r>
          </w:p>
        </w:tc>
        <w:tc>
          <w:tcPr>
            <w:tcW w:w="2413" w:type="dxa"/>
            <w:tcBorders>
              <w:bottom w:val="single" w:color="auto" w:sz="18" w:space="0"/>
              <w:right w:val="single" w:color="FFFFFF" w:themeColor="background1" w:sz="2" w:space="0"/>
            </w:tcBorders>
            <w:vAlign w:val="top"/>
          </w:tcPr>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39132</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3671</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16188</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121</w:t>
            </w:r>
          </w:p>
          <w:p>
            <w:pPr>
              <w:widowControl w:val="0"/>
              <w:numPr>
                <w:ilvl w:val="0"/>
                <w:numId w:val="0"/>
              </w:numPr>
              <w:ind w:left="0" w:leftChars="0" w:firstLine="0" w:firstLineChars="0"/>
              <w:jc w:val="center"/>
              <w:rPr>
                <w:rFonts w:hint="default"/>
                <w:color w:val="0000FF"/>
                <w:vertAlign w:val="baseline"/>
                <w:lang w:eastAsia="zh-CN"/>
              </w:rPr>
            </w:pPr>
            <w:r>
              <w:rPr>
                <w:rFonts w:hint="default"/>
                <w:color w:val="0000FF"/>
                <w:vertAlign w:val="baseline"/>
                <w:lang w:eastAsia="zh-CN"/>
              </w:rPr>
              <w:t>89547</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1871</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27569</w:t>
            </w:r>
          </w:p>
          <w:p>
            <w:pPr>
              <w:widowControl w:val="0"/>
              <w:numPr>
                <w:ilvl w:val="0"/>
                <w:numId w:val="0"/>
              </w:numPr>
              <w:ind w:left="0" w:leftChars="0" w:firstLine="0" w:firstLineChars="0"/>
              <w:jc w:val="center"/>
              <w:rPr>
                <w:rFonts w:hint="eastAsia"/>
                <w:color w:val="0000FF"/>
                <w:vertAlign w:val="baseline"/>
                <w:lang w:val="en-US" w:eastAsia="zh-CN"/>
              </w:rPr>
            </w:pPr>
            <w:r>
              <w:rPr>
                <w:rFonts w:hint="eastAsia"/>
                <w:color w:val="0000FF"/>
                <w:vertAlign w:val="baseline"/>
                <w:lang w:val="en-US" w:eastAsia="zh-CN"/>
              </w:rPr>
              <w:t>23850</w:t>
            </w:r>
          </w:p>
          <w:p>
            <w:pPr>
              <w:widowControl w:val="0"/>
              <w:numPr>
                <w:ilvl w:val="0"/>
                <w:numId w:val="0"/>
              </w:numPr>
              <w:ind w:left="0" w:leftChars="0" w:firstLine="0" w:firstLineChars="0"/>
              <w:jc w:val="center"/>
              <w:rPr>
                <w:rFonts w:hint="default"/>
                <w:color w:val="0000FF"/>
                <w:vertAlign w:val="baseline"/>
                <w:lang w:val="en-US" w:eastAsia="zh-CN"/>
              </w:rPr>
            </w:pPr>
            <w:r>
              <w:rPr>
                <w:rFonts w:hint="eastAsia"/>
                <w:color w:val="0000FF"/>
                <w:vertAlign w:val="baseline"/>
                <w:lang w:val="en-US" w:eastAsia="zh-CN"/>
              </w:rPr>
              <w:t>24581</w:t>
            </w:r>
          </w:p>
        </w:tc>
      </w:tr>
    </w:tbl>
    <w:p>
      <w:pPr>
        <w:pStyle w:val="4"/>
        <w:widowControl w:val="0"/>
        <w:numPr>
          <w:ilvl w:val="0"/>
          <w:numId w:val="0"/>
        </w:numPr>
        <w:jc w:val="center"/>
        <w:rPr>
          <w:rFonts w:hint="eastAsia"/>
          <w:color w:val="0000FF"/>
          <w:lang w:val="en-US" w:eastAsia="zh-CN"/>
        </w:rPr>
      </w:pPr>
      <w:r>
        <w:rPr>
          <w:rFonts w:hint="eastAsia"/>
          <w:color w:val="0000FF"/>
          <w:lang w:val="en-US" w:eastAsia="zh-CN"/>
        </w:rPr>
        <w:t>表2 数据库中所有中医肝病类型及其中医疾病编码</w:t>
      </w:r>
    </w:p>
    <w:p>
      <w:pPr>
        <w:rPr>
          <w:rFonts w:hint="eastAsia" w:ascii="Times New Roman" w:hAnsi="仿宋" w:eastAsia="仿宋" w:cs="Times New Roman"/>
          <w:color w:val="0000FF"/>
          <w:sz w:val="28"/>
          <w:szCs w:val="28"/>
          <w:lang w:val="en-US" w:eastAsia="zh-CN"/>
        </w:rPr>
      </w:pPr>
      <w:r>
        <w:rPr>
          <w:rFonts w:hint="eastAsia"/>
          <w:color w:val="0000FF"/>
          <w:lang w:val="en-US" w:eastAsia="zh-CN"/>
        </w:rPr>
        <w:t xml:space="preserve">        </w:t>
      </w:r>
      <w:r>
        <w:rPr>
          <w:rFonts w:hint="eastAsia" w:ascii="Times New Roman" w:hAnsi="仿宋" w:eastAsia="仿宋" w:cs="Times New Roman"/>
          <w:color w:val="0000FF"/>
          <w:sz w:val="28"/>
          <w:szCs w:val="28"/>
          <w:lang w:val="en-US" w:eastAsia="zh-CN"/>
        </w:rPr>
        <w:t>具体肝病相关的所有疾病的icd编码表以及数据库中发现的疾病的诊断例数见如下EXCEL文件：</w:t>
      </w:r>
    </w:p>
    <w:p>
      <w:pPr>
        <w:rPr>
          <w:rFonts w:hint="eastAsia" w:ascii="Times New Roman" w:hAnsi="仿宋" w:eastAsia="仿宋" w:cs="Times New Roman"/>
          <w:color w:val="0000FF"/>
          <w:sz w:val="28"/>
          <w:szCs w:val="28"/>
          <w:lang w:val="en-US" w:eastAsia="zh-CN"/>
        </w:rPr>
      </w:pPr>
    </w:p>
    <w:p>
      <w:pPr>
        <w:rPr>
          <w:rFonts w:hint="default"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drawing>
          <wp:inline distT="0" distB="0" distL="114300" distR="114300">
            <wp:extent cx="178435" cy="190500"/>
            <wp:effectExtent l="0" t="0" r="12065" b="0"/>
            <wp:docPr id="12" name="图片 12" descr="167715372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77153722230"/>
                    <pic:cNvPicPr>
                      <a:picLocks noChangeAspect="1"/>
                    </pic:cNvPicPr>
                  </pic:nvPicPr>
                  <pic:blipFill>
                    <a:blip r:embed="rId8"/>
                    <a:stretch>
                      <a:fillRect/>
                    </a:stretch>
                  </pic:blipFill>
                  <pic:spPr>
                    <a:xfrm>
                      <a:off x="0" y="0"/>
                      <a:ext cx="178435" cy="190500"/>
                    </a:xfrm>
                    <a:prstGeom prst="rect">
                      <a:avLst/>
                    </a:prstGeom>
                  </pic:spPr>
                </pic:pic>
              </a:graphicData>
            </a:graphic>
          </wp:inline>
        </w:drawing>
      </w:r>
      <w:r>
        <w:rPr>
          <w:rFonts w:hint="eastAsia" w:ascii="Times New Roman" w:hAnsi="仿宋" w:eastAsia="仿宋" w:cs="Times New Roman"/>
          <w:color w:val="0000FF"/>
          <w:sz w:val="28"/>
          <w:szCs w:val="28"/>
          <w:lang w:val="en-US" w:eastAsia="zh-CN"/>
        </w:rPr>
        <w:t>肝病相关icd-10编码及对应诊断数据.xls</w:t>
      </w: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drawing>
          <wp:inline distT="0" distB="0" distL="114300" distR="114300">
            <wp:extent cx="178435" cy="190500"/>
            <wp:effectExtent l="0" t="0" r="12065" b="0"/>
            <wp:docPr id="13" name="图片 13" descr="167715372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77153722230"/>
                    <pic:cNvPicPr>
                      <a:picLocks noChangeAspect="1"/>
                    </pic:cNvPicPr>
                  </pic:nvPicPr>
                  <pic:blipFill>
                    <a:blip r:embed="rId8"/>
                    <a:stretch>
                      <a:fillRect/>
                    </a:stretch>
                  </pic:blipFill>
                  <pic:spPr>
                    <a:xfrm>
                      <a:off x="0" y="0"/>
                      <a:ext cx="178435" cy="190500"/>
                    </a:xfrm>
                    <a:prstGeom prst="rect">
                      <a:avLst/>
                    </a:prstGeom>
                  </pic:spPr>
                </pic:pic>
              </a:graphicData>
            </a:graphic>
          </wp:inline>
        </w:drawing>
      </w:r>
      <w:r>
        <w:rPr>
          <w:rFonts w:hint="default" w:ascii="Times New Roman" w:hAnsi="仿宋" w:eastAsia="仿宋" w:cs="Times New Roman"/>
          <w:color w:val="0000FF"/>
          <w:sz w:val="28"/>
          <w:szCs w:val="28"/>
          <w:lang w:val="en-US" w:eastAsia="zh-CN"/>
        </w:rPr>
        <w:t>疾病的中医诊断以及相关编码</w:t>
      </w:r>
      <w:r>
        <w:rPr>
          <w:rFonts w:hint="eastAsia" w:ascii="Times New Roman" w:hAnsi="仿宋" w:eastAsia="仿宋" w:cs="Times New Roman"/>
          <w:color w:val="0000FF"/>
          <w:sz w:val="28"/>
          <w:szCs w:val="28"/>
          <w:lang w:val="en-US" w:eastAsia="zh-CN"/>
        </w:rPr>
        <w:t>.xls</w:t>
      </w:r>
    </w:p>
    <w:p>
      <w:pPr>
        <w:jc w:val="left"/>
        <w:rPr>
          <w:rFonts w:hint="default"/>
          <w:b w:val="0"/>
          <w:bCs w:val="0"/>
          <w:color w:val="0000FF"/>
          <w:sz w:val="24"/>
          <w:szCs w:val="24"/>
          <w:lang w:val="en-US" w:eastAsia="zh-CN"/>
        </w:rPr>
      </w:pPr>
    </w:p>
    <w:p>
      <w:pPr>
        <w:rPr>
          <w:rFonts w:hint="default"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9）在数据库中检索出来的肝病诊断的icd编码存在与最新的国际疾病分类的icd编码不同的情况，这说明数据库中的icd编码落后于当前最新标准，或者数据库中icd编码标注有误。例如，数据库中肝血管瘤的icd编码为D18.013，而国际疾病分类的icd编码为D18.016，如下图所示：</w:t>
      </w:r>
    </w:p>
    <w:p>
      <w:pPr>
        <w:widowControl w:val="0"/>
        <w:numPr>
          <w:ilvl w:val="0"/>
          <w:numId w:val="0"/>
        </w:numPr>
        <w:ind w:leftChars="200"/>
        <w:jc w:val="both"/>
        <w:rPr>
          <w:rFonts w:hint="default"/>
          <w:b w:val="0"/>
          <w:bCs w:val="0"/>
          <w:color w:val="0000FF"/>
          <w:sz w:val="24"/>
          <w:szCs w:val="24"/>
          <w:lang w:val="en-US" w:eastAsia="zh-CN"/>
        </w:rPr>
      </w:pPr>
      <w:r>
        <w:rPr>
          <w:rFonts w:hint="default"/>
          <w:b w:val="0"/>
          <w:bCs w:val="0"/>
          <w:color w:val="0000FF"/>
          <w:sz w:val="24"/>
          <w:szCs w:val="24"/>
          <w:lang w:val="en-US" w:eastAsia="zh-CN"/>
        </w:rPr>
        <w:drawing>
          <wp:inline distT="0" distB="0" distL="114300" distR="114300">
            <wp:extent cx="5269865" cy="621665"/>
            <wp:effectExtent l="0" t="0" r="6985" b="6985"/>
            <wp:docPr id="14" name="图片 14" descr="16b58b68704d85f628d24de34d6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b58b68704d85f628d24de34d60271"/>
                    <pic:cNvPicPr>
                      <a:picLocks noChangeAspect="1"/>
                    </pic:cNvPicPr>
                  </pic:nvPicPr>
                  <pic:blipFill>
                    <a:blip r:embed="rId9"/>
                    <a:stretch>
                      <a:fillRect/>
                    </a:stretch>
                  </pic:blipFill>
                  <pic:spPr>
                    <a:xfrm>
                      <a:off x="0" y="0"/>
                      <a:ext cx="5269865" cy="621665"/>
                    </a:xfrm>
                    <a:prstGeom prst="rect">
                      <a:avLst/>
                    </a:prstGeom>
                  </pic:spPr>
                </pic:pic>
              </a:graphicData>
            </a:graphic>
          </wp:inline>
        </w:drawing>
      </w: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同样的，中医疾病编码也存在与标准编码有出入的情况，比如，肝肾不足证和肝肾阴亏证在数据库中的编码分别为ZZGS10和zyy.133，而2020年修订的《中医病证分类与代码》中则分别为B04.06.02.05.03.03和B04.06.02.05.03.01，如下图所示：</w:t>
      </w:r>
    </w:p>
    <w:p>
      <w:pPr>
        <w:widowControl w:val="0"/>
        <w:numPr>
          <w:ilvl w:val="0"/>
          <w:numId w:val="0"/>
        </w:numPr>
        <w:ind w:leftChars="200"/>
        <w:jc w:val="both"/>
        <w:rPr>
          <w:rFonts w:hint="default"/>
          <w:b w:val="0"/>
          <w:bCs w:val="0"/>
          <w:color w:val="0000FF"/>
          <w:sz w:val="24"/>
          <w:szCs w:val="24"/>
          <w:lang w:val="en-US" w:eastAsia="zh-CN"/>
        </w:rPr>
      </w:pPr>
      <w:r>
        <w:rPr>
          <w:rFonts w:hint="default"/>
          <w:b w:val="0"/>
          <w:bCs w:val="0"/>
          <w:color w:val="0000FF"/>
          <w:sz w:val="24"/>
          <w:szCs w:val="24"/>
          <w:lang w:val="en-US" w:eastAsia="zh-CN"/>
        </w:rPr>
        <w:drawing>
          <wp:inline distT="0" distB="0" distL="114300" distR="114300">
            <wp:extent cx="5272405" cy="610870"/>
            <wp:effectExtent l="0" t="0" r="4445" b="17780"/>
            <wp:docPr id="15" name="图片 15" descr="7c0cd5ddbf0f60b49c690a1b91f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c0cd5ddbf0f60b49c690a1b91f3580"/>
                    <pic:cNvPicPr>
                      <a:picLocks noChangeAspect="1"/>
                    </pic:cNvPicPr>
                  </pic:nvPicPr>
                  <pic:blipFill>
                    <a:blip r:embed="rId10"/>
                    <a:stretch>
                      <a:fillRect/>
                    </a:stretch>
                  </pic:blipFill>
                  <pic:spPr>
                    <a:xfrm>
                      <a:off x="0" y="0"/>
                      <a:ext cx="5272405" cy="610870"/>
                    </a:xfrm>
                    <a:prstGeom prst="rect">
                      <a:avLst/>
                    </a:prstGeom>
                  </pic:spPr>
                </pic:pic>
              </a:graphicData>
            </a:graphic>
          </wp:inline>
        </w:drawing>
      </w:r>
    </w:p>
    <w:p>
      <w:pPr>
        <w:widowControl w:val="0"/>
        <w:numPr>
          <w:ilvl w:val="0"/>
          <w:numId w:val="0"/>
        </w:numPr>
        <w:ind w:leftChars="200"/>
        <w:jc w:val="both"/>
        <w:rPr>
          <w:rFonts w:hint="default"/>
          <w:b w:val="0"/>
          <w:bCs w:val="0"/>
          <w:color w:val="0000FF"/>
          <w:sz w:val="24"/>
          <w:szCs w:val="24"/>
          <w:lang w:val="en-US" w:eastAsia="zh-CN"/>
        </w:rPr>
      </w:pPr>
      <w:r>
        <w:rPr>
          <w:rFonts w:hint="default"/>
          <w:b w:val="0"/>
          <w:bCs w:val="0"/>
          <w:color w:val="0000FF"/>
          <w:sz w:val="24"/>
          <w:szCs w:val="24"/>
          <w:lang w:val="en-US" w:eastAsia="zh-CN"/>
        </w:rPr>
        <w:drawing>
          <wp:inline distT="0" distB="0" distL="114300" distR="114300">
            <wp:extent cx="5273040" cy="189865"/>
            <wp:effectExtent l="0" t="0" r="3810" b="635"/>
            <wp:docPr id="16" name="图片 16" descr="8e2952af651939a0ce672a7b6e9a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2952af651939a0ce672a7b6e9a106"/>
                    <pic:cNvPicPr>
                      <a:picLocks noChangeAspect="1"/>
                    </pic:cNvPicPr>
                  </pic:nvPicPr>
                  <pic:blipFill>
                    <a:blip r:embed="rId11"/>
                    <a:stretch>
                      <a:fillRect/>
                    </a:stretch>
                  </pic:blipFill>
                  <pic:spPr>
                    <a:xfrm>
                      <a:off x="0" y="0"/>
                      <a:ext cx="5273040" cy="189865"/>
                    </a:xfrm>
                    <a:prstGeom prst="rect">
                      <a:avLst/>
                    </a:prstGeom>
                  </pic:spPr>
                </pic:pic>
              </a:graphicData>
            </a:graphic>
          </wp:inline>
        </w:drawing>
      </w:r>
    </w:p>
    <w:p>
      <w:pPr>
        <w:rPr>
          <w:rFonts w:hint="default"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10）本次研究分析了从2010-2021年一共12年的肝病发病诊治数据，共查询得到80余万就诊数据，数据量有了很大提高，但在具体的操作过程中发现了大量相似的处方，并且数据来源都来自于同一地方，因此我们不能排除许多诊治数据来源于少数的医生，并且不同医生有自己不同的诊疗风格、用药习性，在数据库的选取中还待提高数据的体量、从多地、多时间进行全面的分析。</w:t>
      </w:r>
    </w:p>
    <w:p>
      <w:pPr>
        <w:rPr>
          <w:rFonts w:hint="eastAsia" w:ascii="Times New Roman" w:hAnsi="仿宋" w:eastAsia="仿宋" w:cs="Times New Roman"/>
          <w:color w:val="0000FF"/>
          <w:sz w:val="28"/>
          <w:szCs w:val="28"/>
          <w:lang w:val="en-US" w:eastAsia="zh-CN"/>
        </w:rPr>
      </w:pPr>
      <w:r>
        <w:rPr>
          <w:rFonts w:hint="eastAsia" w:ascii="Times New Roman" w:hAnsi="仿宋" w:eastAsia="仿宋" w:cs="Times New Roman"/>
          <w:color w:val="0000FF"/>
          <w:sz w:val="28"/>
          <w:szCs w:val="28"/>
          <w:lang w:val="en-US" w:eastAsia="zh-CN"/>
        </w:rPr>
        <w:t>（11）本次研究从数据角度分析了肝病的发病就诊情况，并挖掘了治疗肝病的核心处方，可为开处方提供良好的辅助工具，但由于缺少进一步的应用层面的反馈，对于核心处方的可行性、效果仍需专业的医生从医学角度进行分析并检验最终效果，依此方可得出更为可靠的结论。</w:t>
      </w:r>
    </w:p>
    <w:p>
      <w:pPr>
        <w:ind w:firstLine="420" w:firstLineChars="150"/>
        <w:rPr>
          <w:rFonts w:ascii="Times New Roman" w:hAnsi="仿宋" w:eastAsia="仿宋" w:cs="Times New Roman"/>
          <w:sz w:val="28"/>
          <w:szCs w:val="28"/>
        </w:rPr>
      </w:pPr>
    </w:p>
    <w:p>
      <w:pPr>
        <w:ind w:firstLine="420" w:firstLineChars="150"/>
        <w:rPr>
          <w:rFonts w:ascii="Times New Roman" w:hAnsi="仿宋" w:eastAsia="仿宋" w:cs="Times New Roman"/>
          <w:sz w:val="28"/>
          <w:szCs w:val="28"/>
        </w:rPr>
      </w:pPr>
      <w:r>
        <w:rPr>
          <w:rFonts w:hint="eastAsia" w:ascii="Times New Roman" w:hAnsi="仿宋" w:eastAsia="仿宋" w:cs="Times New Roman"/>
          <w:sz w:val="28"/>
          <w:szCs w:val="28"/>
        </w:rPr>
        <w:t>致谢：杭州</w:t>
      </w:r>
      <w:r>
        <w:rPr>
          <w:rFonts w:hint="eastAsia" w:ascii="Times New Roman" w:hAnsi="仿宋" w:eastAsia="仿宋" w:cs="Times New Roman"/>
          <w:color w:val="FF0000"/>
          <w:sz w:val="28"/>
          <w:szCs w:val="28"/>
        </w:rPr>
        <w:t>师</w:t>
      </w:r>
      <w:r>
        <w:rPr>
          <w:rFonts w:hint="eastAsia" w:ascii="Times New Roman" w:hAnsi="仿宋" w:eastAsia="仿宋" w:cs="Times New Roman"/>
          <w:sz w:val="28"/>
          <w:szCs w:val="28"/>
        </w:rPr>
        <w:t>范大学附属医院肝病科、</w:t>
      </w:r>
      <w:r>
        <w:rPr>
          <w:rFonts w:hint="eastAsia" w:ascii="Times New Roman" w:hAnsi="仿宋" w:eastAsia="仿宋" w:cs="Times New Roman"/>
          <w:color w:val="FF0000"/>
          <w:sz w:val="28"/>
          <w:szCs w:val="28"/>
        </w:rPr>
        <w:t>肿瘤诊治中心、科研转化处</w:t>
      </w:r>
      <w:r>
        <w:rPr>
          <w:rFonts w:hint="eastAsia" w:ascii="Times New Roman" w:hAnsi="仿宋" w:eastAsia="仿宋" w:cs="Times New Roman"/>
          <w:sz w:val="28"/>
          <w:szCs w:val="28"/>
        </w:rPr>
        <w:t>提供专家意见；</w:t>
      </w:r>
      <w:r>
        <w:rPr>
          <w:rFonts w:hint="eastAsia" w:ascii="Times New Roman" w:hAnsi="仿宋" w:eastAsia="仿宋" w:cs="Times New Roman"/>
          <w:color w:val="FF0000"/>
          <w:sz w:val="28"/>
          <w:szCs w:val="28"/>
        </w:rPr>
        <w:t>杭州电子科技大学、</w:t>
      </w:r>
      <w:r>
        <w:rPr>
          <w:rFonts w:hint="eastAsia" w:ascii="Times New Roman" w:hAnsi="仿宋" w:eastAsia="仿宋" w:cs="Times New Roman"/>
          <w:color w:val="FF0000"/>
          <w:sz w:val="28"/>
          <w:szCs w:val="28"/>
          <w:lang w:val="en-US" w:eastAsia="zh-CN"/>
        </w:rPr>
        <w:t>浙江中医药大学、</w:t>
      </w:r>
      <w:r>
        <w:rPr>
          <w:rFonts w:hint="eastAsia" w:ascii="Times New Roman" w:hAnsi="仿宋" w:eastAsia="仿宋" w:cs="Times New Roman"/>
          <w:sz w:val="28"/>
          <w:szCs w:val="28"/>
        </w:rPr>
        <w:t>万达信息股份有限公司大数据分析团队提供数据</w:t>
      </w:r>
      <w:r>
        <w:rPr>
          <w:rFonts w:hint="eastAsia" w:ascii="Times New Roman" w:hAnsi="仿宋" w:eastAsia="仿宋" w:cs="Times New Roman"/>
          <w:color w:val="FF0000"/>
          <w:sz w:val="28"/>
          <w:szCs w:val="28"/>
        </w:rPr>
        <w:t>分析</w:t>
      </w:r>
      <w:r>
        <w:rPr>
          <w:rFonts w:hint="eastAsia" w:ascii="Times New Roman" w:hAnsi="仿宋" w:eastAsia="仿宋" w:cs="Times New Roman"/>
          <w:sz w:val="28"/>
          <w:szCs w:val="28"/>
        </w:rPr>
        <w:t>维护</w:t>
      </w:r>
      <w:r>
        <w:rPr>
          <w:rFonts w:hint="eastAsia" w:ascii="Times New Roman" w:hAnsi="仿宋" w:eastAsia="仿宋" w:cs="Times New Roman"/>
          <w:color w:val="FF0000"/>
          <w:sz w:val="28"/>
          <w:szCs w:val="28"/>
        </w:rPr>
        <w:t>技术</w:t>
      </w:r>
      <w:r>
        <w:rPr>
          <w:rFonts w:hint="eastAsia" w:ascii="Times New Roman" w:hAnsi="仿宋" w:eastAsia="仿宋" w:cs="Times New Roman"/>
          <w:sz w:val="28"/>
          <w:szCs w:val="28"/>
        </w:rPr>
        <w:t>支持。</w:t>
      </w:r>
      <w:bookmarkStart w:id="8" w:name="_GoBack"/>
      <w:bookmarkEnd w:id="8"/>
    </w:p>
    <w:p>
      <w:pPr>
        <w:rPr>
          <w:rFonts w:ascii="Times New Roman" w:hAnsi="仿宋" w:eastAsia="仿宋" w:cs="Times New Roman"/>
          <w:sz w:val="28"/>
          <w:szCs w:val="28"/>
        </w:rPr>
      </w:pPr>
    </w:p>
    <w:p>
      <w:pPr>
        <w:rPr>
          <w:rFonts w:ascii="黑体" w:hAnsi="黑体" w:eastAsia="黑体" w:cs="黑体"/>
          <w:szCs w:val="21"/>
        </w:rPr>
      </w:pPr>
      <w:r>
        <w:rPr>
          <w:rFonts w:hint="eastAsia" w:ascii="黑体" w:hAnsi="黑体" w:eastAsia="黑体" w:cs="黑体"/>
          <w:szCs w:val="21"/>
        </w:rPr>
        <w:t>参考文献</w:t>
      </w:r>
    </w:p>
    <w:p>
      <w:pPr>
        <w:rPr>
          <w:rFonts w:ascii="Times New Roman" w:hAnsi="仿宋" w:eastAsia="仿宋" w:cs="Times New Roman"/>
          <w:szCs w:val="21"/>
        </w:rPr>
      </w:pPr>
      <w:r>
        <w:rPr>
          <w:rFonts w:hint="eastAsia" w:ascii="Times New Roman" w:hAnsi="仿宋" w:eastAsia="仿宋" w:cs="Times New Roman"/>
          <w:szCs w:val="21"/>
        </w:rPr>
        <w:t>[1]范建高.中国非酒精性脂肪性肝病的流行病学[J].中国医师进修杂志，2010，33（1）：4-6.</w:t>
      </w:r>
    </w:p>
    <w:p>
      <w:pPr>
        <w:rPr>
          <w:rFonts w:ascii="Times New Roman" w:hAnsi="仿宋" w:eastAsia="仿宋" w:cs="Times New Roman"/>
          <w:szCs w:val="21"/>
        </w:rPr>
      </w:pPr>
      <w:r>
        <w:rPr>
          <w:rFonts w:hint="eastAsia" w:ascii="Times New Roman" w:hAnsi="仿宋" w:eastAsia="仿宋" w:cs="Times New Roman"/>
          <w:szCs w:val="21"/>
        </w:rPr>
        <w:t>[2]中华医学会肝病分会脂肪肝和酒精性肝病学组.酒精性肝病诊疗指南（2010年修订版）.</w:t>
      </w:r>
    </w:p>
    <w:p>
      <w:pPr>
        <w:rPr>
          <w:rFonts w:ascii="Times New Roman" w:hAnsi="仿宋" w:eastAsia="仿宋" w:cs="Times New Roman"/>
          <w:szCs w:val="21"/>
        </w:rPr>
      </w:pPr>
      <w:r>
        <w:rPr>
          <w:rFonts w:hint="eastAsia" w:ascii="Times New Roman" w:hAnsi="仿宋" w:eastAsia="仿宋" w:cs="Times New Roman"/>
          <w:szCs w:val="21"/>
        </w:rPr>
        <w:t>[3]维克托·迈尔-舍恩伯格，肯尼斯·库克耶.大数据时代生活、工作与思维的大变革[M].盛杨燕，周涛，译.杭州：浙江人民出版社，2013：17.</w:t>
      </w:r>
    </w:p>
    <w:p>
      <w:pPr>
        <w:rPr>
          <w:rFonts w:ascii="Times New Roman" w:hAnsi="仿宋" w:eastAsia="仿宋" w:cs="Times New Roman"/>
          <w:szCs w:val="21"/>
        </w:rPr>
      </w:pPr>
      <w:r>
        <w:rPr>
          <w:rFonts w:hint="eastAsia" w:ascii="Times New Roman" w:hAnsi="仿宋" w:eastAsia="仿宋" w:cs="Times New Roman"/>
          <w:szCs w:val="21"/>
        </w:rPr>
        <w:t>[4]张昌明，朱红.大数据及其在医疗邻域的应用[J].中国医学教育技术，2015，29（3）：294-297.</w:t>
      </w:r>
    </w:p>
    <w:p>
      <w:pPr>
        <w:rPr>
          <w:rFonts w:ascii="Times New Roman" w:hAnsi="仿宋" w:eastAsia="仿宋" w:cs="Times New Roman"/>
          <w:szCs w:val="21"/>
        </w:rPr>
      </w:pPr>
      <w:r>
        <w:rPr>
          <w:rFonts w:hint="eastAsia" w:ascii="Times New Roman" w:hAnsi="仿宋" w:eastAsia="仿宋" w:cs="Times New Roman"/>
          <w:szCs w:val="21"/>
        </w:rPr>
        <w:t>[5]罗旭，刘友江.医疗大数据研究现状及其临床应用[J].医学信息杂志，2015，36（5）：10-14.</w:t>
      </w:r>
    </w:p>
    <w:p>
      <w:pPr>
        <w:rPr>
          <w:rFonts w:ascii="Times New Roman" w:hAnsi="仿宋" w:eastAsia="仿宋" w:cs="Times New Roman"/>
          <w:szCs w:val="21"/>
        </w:rPr>
      </w:pPr>
      <w:r>
        <w:rPr>
          <w:rFonts w:hint="eastAsia" w:ascii="Times New Roman" w:hAnsi="仿宋" w:eastAsia="仿宋" w:cs="Times New Roman"/>
          <w:szCs w:val="21"/>
        </w:rPr>
        <w:t>[6]解育静.大数据时代中医药领域面临的机遇与挑战[J].中华医学图书情报杂志，2015，24（7）:33-35</w:t>
      </w:r>
    </w:p>
    <w:p>
      <w:pPr>
        <w:rPr>
          <w:rFonts w:ascii="Times New Roman" w:hAnsi="仿宋" w:eastAsia="仿宋" w:cs="Times New Roman"/>
          <w:szCs w:val="21"/>
        </w:rPr>
      </w:pPr>
      <w:r>
        <w:rPr>
          <w:rFonts w:hint="eastAsia" w:ascii="Times New Roman" w:hAnsi="仿宋" w:eastAsia="仿宋" w:cs="Times New Roman"/>
          <w:szCs w:val="21"/>
        </w:rPr>
        <w:t>[7]徐慧明，王越敏，张天嵩.基于数据挖掘的非酒精性脂肪肝中医临床用药规律研究[J].中国中医药信息杂志，2014，21（8）：38-41</w:t>
      </w:r>
    </w:p>
    <w:p>
      <w:pPr>
        <w:rPr>
          <w:rFonts w:ascii="Times New Roman" w:hAnsi="仿宋" w:eastAsia="仿宋" w:cs="Times New Roman"/>
          <w:szCs w:val="21"/>
        </w:rPr>
      </w:pPr>
      <w:r>
        <w:rPr>
          <w:rFonts w:hint="eastAsia" w:ascii="Times New Roman" w:hAnsi="仿宋" w:eastAsia="仿宋" w:cs="Times New Roman"/>
          <w:szCs w:val="21"/>
        </w:rPr>
        <w:t>[8]聂佳，邓都，雄呷，等.数据挖掘技术研究民族医药传统用药经验模式探讨[J].中华中医药杂志，2015，30（3）：926-927.</w:t>
      </w:r>
    </w:p>
    <w:p>
      <w:pPr>
        <w:rPr>
          <w:rFonts w:ascii="Times New Roman" w:hAnsi="仿宋" w:eastAsia="仿宋" w:cs="Times New Roman"/>
          <w:szCs w:val="21"/>
        </w:rPr>
      </w:pPr>
      <w:r>
        <w:rPr>
          <w:rFonts w:hint="eastAsia" w:ascii="Times New Roman" w:hAnsi="仿宋" w:eastAsia="仿宋" w:cs="Times New Roman"/>
          <w:szCs w:val="21"/>
        </w:rPr>
        <w:t>[9]王可鉴，石乐明，贺林，等.中国药物研发的新机遇：基于医药大数据的系统性药物重定位[J].科学通报，2014，59（18）：1790-1796.</w:t>
      </w:r>
    </w:p>
    <w:p>
      <w:pPr>
        <w:rPr>
          <w:rFonts w:ascii="Times New Roman" w:hAnsi="仿宋" w:eastAsia="仿宋" w:cs="Times New Roman"/>
          <w:szCs w:val="21"/>
        </w:rPr>
      </w:pPr>
      <w:r>
        <w:rPr>
          <w:rFonts w:hint="eastAsia" w:ascii="Times New Roman" w:hAnsi="仿宋" w:eastAsia="仿宋" w:cs="Times New Roman"/>
          <w:szCs w:val="21"/>
        </w:rPr>
        <w:t>[10]世界卫生组织.http://www.who.innt/campaigns/hepatitis-day/2016/event/zh/,2016.</w:t>
      </w:r>
    </w:p>
    <w:p>
      <w:pPr>
        <w:rPr>
          <w:rFonts w:ascii="Times New Roman" w:hAnsi="仿宋" w:eastAsia="仿宋" w:cs="Times New Roman"/>
          <w:szCs w:val="21"/>
        </w:rPr>
      </w:pPr>
      <w:r>
        <w:rPr>
          <w:rFonts w:hint="eastAsia" w:ascii="Times New Roman" w:hAnsi="仿宋" w:eastAsia="仿宋" w:cs="Times New Roman"/>
          <w:szCs w:val="21"/>
        </w:rPr>
        <w:t>[11]李玉琴.基于主成分机器学习算法的慢性肝病预测分析[D].湖南:湖南大学, 2017.</w:t>
      </w:r>
    </w:p>
    <w:p>
      <w:pPr>
        <w:rPr>
          <w:rFonts w:ascii="Times New Roman" w:hAnsi="仿宋" w:eastAsia="仿宋" w:cs="Times New Roman"/>
          <w:szCs w:val="21"/>
        </w:rPr>
      </w:pPr>
      <w:r>
        <w:rPr>
          <w:rFonts w:hint="eastAsia" w:ascii="Times New Roman" w:hAnsi="仿宋" w:eastAsia="仿宋" w:cs="Times New Roman"/>
          <w:szCs w:val="21"/>
        </w:rPr>
        <w:t>[12]Fox, Rena K. When to Consider Liver Transplant During the Management of Chronic Liver Disease[J]. Medical Clinics of North America, 2014, 98(1):153-168.</w:t>
      </w:r>
    </w:p>
    <w:p>
      <w:pPr>
        <w:rPr>
          <w:rFonts w:ascii="Times New Roman" w:hAnsi="仿宋" w:eastAsia="仿宋" w:cs="Times New Roman"/>
          <w:szCs w:val="21"/>
        </w:rPr>
      </w:pPr>
      <w:r>
        <w:rPr>
          <w:rFonts w:hint="eastAsia" w:ascii="Times New Roman" w:hAnsi="仿宋" w:eastAsia="仿宋" w:cs="Times New Roman"/>
          <w:szCs w:val="21"/>
        </w:rPr>
        <w:t>[13]迟云志. 中医对慢性肝病的认识[J]. 中国伤残医学, 2009, 04(4):146-146.</w:t>
      </w:r>
    </w:p>
    <w:p>
      <w:pPr>
        <w:rPr>
          <w:rFonts w:ascii="Times New Roman" w:hAnsi="仿宋" w:eastAsia="仿宋" w:cs="Times New Roman"/>
          <w:szCs w:val="21"/>
        </w:rPr>
      </w:pPr>
      <w:r>
        <w:rPr>
          <w:rFonts w:hint="eastAsia" w:ascii="Times New Roman" w:hAnsi="仿宋" w:eastAsia="仿宋" w:cs="Times New Roman"/>
          <w:szCs w:val="21"/>
        </w:rPr>
        <w:t>[14]葛晓舒.“肝病患者往往是郁而成疾”[N].湘声报.2017-12-02(8).</w:t>
      </w:r>
    </w:p>
    <w:p>
      <w:pPr>
        <w:rPr>
          <w:rFonts w:ascii="Times New Roman" w:hAnsi="仿宋" w:eastAsia="仿宋" w:cs="Times New Roman"/>
          <w:szCs w:val="21"/>
        </w:rPr>
      </w:pPr>
      <w:r>
        <w:rPr>
          <w:rFonts w:hint="eastAsia" w:ascii="Times New Roman" w:hAnsi="仿宋" w:eastAsia="仿宋" w:cs="Times New Roman"/>
          <w:szCs w:val="21"/>
        </w:rPr>
        <w:t>[15]吴乾. 中医治疗肝病概论[J]. 健康向导, 2016, 22(001):24-25.</w:t>
      </w:r>
    </w:p>
    <w:p>
      <w:pPr>
        <w:rPr>
          <w:rFonts w:ascii="Times New Roman" w:hAnsi="仿宋" w:eastAsia="仿宋" w:cs="Times New Roman"/>
          <w:szCs w:val="21"/>
        </w:rPr>
      </w:pPr>
      <w:r>
        <w:rPr>
          <w:rFonts w:hint="eastAsia" w:ascii="Times New Roman" w:hAnsi="仿宋" w:eastAsia="仿宋" w:cs="Times New Roman"/>
          <w:szCs w:val="21"/>
        </w:rPr>
        <w:t>[16]陈志屹. 基于机器学习的肝硬化疾病预测研究[D]. 湖南:湖南大学, 2019.</w:t>
      </w:r>
    </w:p>
    <w:p>
      <w:pPr>
        <w:rPr>
          <w:rFonts w:ascii="Times New Roman" w:hAnsi="仿宋" w:eastAsia="仿宋" w:cs="Times New Roman"/>
          <w:szCs w:val="21"/>
        </w:rPr>
      </w:pPr>
      <w:r>
        <w:rPr>
          <w:rFonts w:hint="eastAsia" w:ascii="Times New Roman" w:hAnsi="仿宋" w:eastAsia="仿宋" w:cs="Times New Roman"/>
          <w:szCs w:val="21"/>
        </w:rPr>
        <w:t>[17]王栋. 数据挖掘研究综述[J]. 数字技术与应用, 2014, 000(002):80-81.</w:t>
      </w:r>
    </w:p>
    <w:p>
      <w:pPr>
        <w:rPr>
          <w:rFonts w:ascii="Times New Roman" w:hAnsi="仿宋" w:eastAsia="仿宋" w:cs="Times New Roman"/>
          <w:szCs w:val="21"/>
        </w:rPr>
      </w:pPr>
      <w:r>
        <w:rPr>
          <w:rFonts w:hint="eastAsia" w:ascii="Times New Roman" w:hAnsi="仿宋" w:eastAsia="仿宋" w:cs="Times New Roman"/>
          <w:szCs w:val="21"/>
        </w:rPr>
        <w:t>[18]汤尔群，任延革，陈明,等.基于数据挖掘方法的《伤寒论》方证知识挖掘研究[J].中国中医药信息杂志.2012,19（4）:31-34.</w:t>
      </w:r>
    </w:p>
    <w:p>
      <w:pPr>
        <w:rPr>
          <w:rFonts w:ascii="Times New Roman" w:hAnsi="仿宋" w:eastAsia="仿宋" w:cs="Times New Roman"/>
          <w:szCs w:val="21"/>
        </w:rPr>
      </w:pPr>
      <w:r>
        <w:rPr>
          <w:rFonts w:hint="eastAsia" w:ascii="Times New Roman" w:hAnsi="仿宋" w:eastAsia="仿宋" w:cs="Times New Roman"/>
          <w:szCs w:val="21"/>
        </w:rPr>
        <w:t xml:space="preserve">[19]朱昊如, 韩菁婕, 贾子尧,等. 基于数据挖掘的《临证指南医案》脉药关联规则研究[J]. 中医药导报, 2018(1):55-56. </w:t>
      </w:r>
    </w:p>
    <w:p>
      <w:pPr>
        <w:rPr>
          <w:rFonts w:ascii="Times New Roman" w:hAnsi="仿宋" w:eastAsia="仿宋" w:cs="Times New Roman"/>
          <w:szCs w:val="21"/>
        </w:rPr>
      </w:pPr>
      <w:r>
        <w:rPr>
          <w:rFonts w:hint="eastAsia" w:ascii="Times New Roman" w:hAnsi="仿宋" w:eastAsia="仿宋" w:cs="Times New Roman"/>
          <w:szCs w:val="21"/>
        </w:rPr>
        <w:t>[20]丁宇坤, 何庆勇, 郭建波,等. 先秦至清代著名医家治疗失眠方剂用药规律的数据挖掘研究[J]. 世界科学技术:中医药现代化, 2018, v.20(02):188-193.</w:t>
      </w:r>
    </w:p>
    <w:p>
      <w:pPr>
        <w:rPr>
          <w:rFonts w:ascii="Times New Roman" w:hAnsi="仿宋" w:eastAsia="仿宋" w:cs="Times New Roman"/>
          <w:szCs w:val="21"/>
        </w:rPr>
      </w:pPr>
      <w:r>
        <w:rPr>
          <w:rFonts w:hint="eastAsia" w:ascii="Times New Roman" w:hAnsi="仿宋" w:eastAsia="仿宋" w:cs="Times New Roman"/>
          <w:szCs w:val="21"/>
        </w:rPr>
        <w:t>[21]高雅, 何庆勇, 丁宇坤,等. 汉代以来著名医家治疗水肿的方剂用药规律的数据挖掘研究[J]. 世界科学技术-中医药现代化, 2018, 20(05):101-107.</w:t>
      </w:r>
    </w:p>
    <w:p>
      <w:pPr>
        <w:rPr>
          <w:rFonts w:ascii="Times New Roman" w:hAnsi="仿宋" w:eastAsia="仿宋" w:cs="Times New Roman"/>
          <w:szCs w:val="21"/>
        </w:rPr>
      </w:pPr>
      <w:r>
        <w:rPr>
          <w:rFonts w:hint="eastAsia" w:ascii="Times New Roman" w:hAnsi="仿宋" w:eastAsia="仿宋" w:cs="Times New Roman"/>
          <w:szCs w:val="21"/>
        </w:rPr>
        <w:t>[22]吴嘉瑞, 王凯欢, 纪凯,等.基于数据挖掘的中医治疗糖尿病处方用药规律分析[J]. 中国实验方剂学杂志, 2015, 021(022):214-217.</w:t>
      </w:r>
    </w:p>
    <w:p>
      <w:pPr>
        <w:rPr>
          <w:rFonts w:ascii="Times New Roman" w:hAnsi="仿宋" w:eastAsia="仿宋" w:cs="Times New Roman"/>
          <w:szCs w:val="21"/>
        </w:rPr>
      </w:pPr>
      <w:r>
        <w:rPr>
          <w:rFonts w:hint="eastAsia" w:ascii="Times New Roman" w:hAnsi="仿宋" w:eastAsia="仿宋" w:cs="Times New Roman"/>
          <w:szCs w:val="21"/>
        </w:rPr>
        <w:t>[23]吴嘉瑞, 秦丹, 杨瑞,等. 基于关联规则和复杂系统熵聚类的中药相畏药物组合规律研究[J]. 中国中医药信息杂志, 2013(10):24-26.</w:t>
      </w:r>
    </w:p>
    <w:p>
      <w:pPr>
        <w:rPr>
          <w:rFonts w:ascii="Times New Roman" w:hAnsi="仿宋" w:eastAsia="仿宋" w:cs="Times New Roman"/>
          <w:szCs w:val="21"/>
        </w:rPr>
      </w:pPr>
      <w:r>
        <w:rPr>
          <w:rFonts w:hint="eastAsia" w:ascii="Times New Roman" w:hAnsi="仿宋" w:eastAsia="仿宋" w:cs="Times New Roman"/>
          <w:szCs w:val="21"/>
        </w:rPr>
        <w:t>[24]刘鑫馗, 吴嘉瑞, 张丹,等. 基于网络药理学的附子-干姜药对治疗心力衰竭的作用机制分析[J]. 中国实验方剂学杂志, 2017, 023(021):212-219.</w:t>
      </w:r>
    </w:p>
    <w:p>
      <w:pPr>
        <w:rPr>
          <w:rFonts w:ascii="Times New Roman" w:hAnsi="仿宋" w:eastAsia="仿宋" w:cs="Times New Roman"/>
          <w:szCs w:val="21"/>
        </w:rPr>
      </w:pPr>
      <w:r>
        <w:rPr>
          <w:rFonts w:hint="eastAsia" w:ascii="Times New Roman" w:hAnsi="仿宋" w:eastAsia="仿宋" w:cs="Times New Roman"/>
          <w:szCs w:val="21"/>
        </w:rPr>
        <w:t>[25]卢民荣. 基于案例的SQL语言辅助学习平台的研究与应用[D]. 湖南:湖南大学,2011.</w:t>
      </w:r>
    </w:p>
    <w:p>
      <w:pPr>
        <w:rPr>
          <w:rFonts w:ascii="Times New Roman" w:hAnsi="仿宋" w:eastAsia="仿宋" w:cs="Times New Roman"/>
          <w:szCs w:val="21"/>
        </w:rPr>
      </w:pPr>
      <w:r>
        <w:rPr>
          <w:rFonts w:hint="eastAsia" w:ascii="Times New Roman" w:hAnsi="仿宋" w:eastAsia="仿宋" w:cs="Times New Roman"/>
          <w:szCs w:val="21"/>
        </w:rPr>
        <w:t>[26]曾雷. 关联规则挖掘中Apriori算法的研究[D]. 重庆:重庆交通大学, 2016.</w:t>
      </w:r>
    </w:p>
    <w:p>
      <w:pPr>
        <w:rPr>
          <w:rFonts w:ascii="Times New Roman" w:hAnsi="仿宋" w:eastAsia="仿宋" w:cs="Times New Roman"/>
          <w:szCs w:val="21"/>
        </w:rPr>
      </w:pPr>
      <w:r>
        <w:rPr>
          <w:rFonts w:hint="eastAsia" w:ascii="Times New Roman" w:hAnsi="仿宋" w:eastAsia="仿宋" w:cs="Times New Roman"/>
          <w:szCs w:val="21"/>
        </w:rPr>
        <w:t>[27]缪元武. 基于层次聚类的数据分析[D]. 安徽:安徽大学, 2013.</w:t>
      </w:r>
    </w:p>
    <w:p>
      <w:pPr>
        <w:rPr>
          <w:rFonts w:ascii="Times New Roman" w:hAnsi="仿宋" w:eastAsia="仿宋" w:cs="Times New Roman"/>
          <w:szCs w:val="21"/>
        </w:rPr>
      </w:pPr>
      <w:r>
        <w:rPr>
          <w:rFonts w:hint="eastAsia" w:ascii="Times New Roman" w:hAnsi="仿宋" w:eastAsia="仿宋" w:cs="Times New Roman"/>
          <w:szCs w:val="21"/>
        </w:rPr>
        <w:t>[28]鲁佩佩, 黄志有. 基于数据挖掘对古方治疗慢性肝病的探讨[J]. 新中医, 2018, 50(12):57-60.</w:t>
      </w:r>
    </w:p>
    <w:p>
      <w:pPr>
        <w:rPr>
          <w:rFonts w:ascii="Times New Roman" w:hAnsi="仿宋" w:eastAsia="仿宋" w:cs="Times New Roman"/>
          <w:szCs w:val="21"/>
        </w:rPr>
      </w:pPr>
      <w:r>
        <w:rPr>
          <w:rFonts w:hint="eastAsia" w:ascii="Times New Roman" w:hAnsi="仿宋" w:eastAsia="仿宋" w:cs="Times New Roman"/>
          <w:szCs w:val="21"/>
        </w:rPr>
        <w:t>[29]宋京美. 基于数据挖掘的中医治疗肝病临床用药规律与作用机制研究[D]. 北京:北京中医药大学, 2019.</w:t>
      </w:r>
    </w:p>
    <w:p>
      <w:pPr>
        <w:rPr>
          <w:rFonts w:ascii="Times New Roman" w:hAnsi="仿宋" w:eastAsia="仿宋" w:cs="Times New Roman"/>
          <w:szCs w:val="21"/>
        </w:rPr>
      </w:pPr>
      <w:r>
        <w:rPr>
          <w:rFonts w:hint="eastAsia" w:ascii="Times New Roman" w:hAnsi="仿宋" w:eastAsia="仿宋" w:cs="Times New Roman"/>
          <w:szCs w:val="21"/>
        </w:rPr>
        <w:t xml:space="preserve">[30]刘慧芳,黄建波,黄敏聪,姜涛,吕圭源,李波,求鑫瑜,程斌,楼招欢*.乌药调节胆固醇逆转运抗高脂血症作用研究[J].中国中药杂志,2021,46(07):1795-1802. </w:t>
      </w:r>
    </w:p>
    <w:p>
      <w:pPr>
        <w:rPr>
          <w:rFonts w:ascii="Times New Roman" w:hAnsi="仿宋" w:eastAsia="仿宋" w:cs="Times New Roman"/>
          <w:szCs w:val="21"/>
        </w:rPr>
      </w:pPr>
      <w:r>
        <w:rPr>
          <w:rFonts w:hint="eastAsia" w:ascii="Times New Roman" w:hAnsi="仿宋" w:eastAsia="仿宋" w:cs="Times New Roman"/>
          <w:szCs w:val="21"/>
        </w:rPr>
        <w:t>[31]楼招欢，程斌，夏伯侯，汪洋鹏，徐浩，张光霁*. 荷叶对高糖高脂饮食诱导的实验性非酒精性脂肪肝的作用研究. 中华中医药杂志，2017，32（5）：2169-2173.</w:t>
      </w:r>
    </w:p>
    <w:p>
      <w:pPr>
        <w:rPr>
          <w:rFonts w:ascii="Times New Roman" w:hAnsi="仿宋" w:eastAsia="仿宋" w:cs="Times New Roman"/>
          <w:szCs w:val="21"/>
        </w:rPr>
      </w:pPr>
      <w:r>
        <w:rPr>
          <w:rFonts w:hint="eastAsia" w:ascii="Times New Roman" w:hAnsi="仿宋" w:eastAsia="仿宋" w:cs="Times New Roman"/>
          <w:szCs w:val="21"/>
        </w:rPr>
        <w:t>[32]Zhaohuan Lou， Bohou Xia， Jie Su， Jingjing Yu， Meiqiu Yan， Yuefang Huang， Guiyuan Lv. Effect of a stilbene glycoside</w:t>
      </w:r>
      <w:r>
        <w:rPr>
          <w:rFonts w:hint="eastAsia" w:ascii="Times New Roman" w:hAnsi="仿宋" w:eastAsia="仿宋" w:cs="Times New Roman"/>
          <w:szCs w:val="21"/>
        </w:rPr>
        <w:noBreakHyphen/>
      </w:r>
      <w:r>
        <w:rPr>
          <w:rFonts w:hint="eastAsia" w:ascii="Times New Roman" w:hAnsi="仿宋" w:eastAsia="仿宋" w:cs="Times New Roman"/>
          <w:szCs w:val="21"/>
        </w:rPr>
        <w:t>rich extract from Polygoni Multiflori Radix on experimental non</w:t>
      </w:r>
      <w:r>
        <w:rPr>
          <w:rFonts w:hint="eastAsia" w:ascii="Times New Roman" w:hAnsi="仿宋" w:eastAsia="仿宋" w:cs="Times New Roman"/>
          <w:szCs w:val="21"/>
        </w:rPr>
        <w:noBreakHyphen/>
      </w:r>
      <w:r>
        <w:rPr>
          <w:rFonts w:hint="eastAsia" w:ascii="Times New Roman" w:hAnsi="仿宋" w:eastAsia="仿宋" w:cs="Times New Roman"/>
          <w:szCs w:val="21"/>
        </w:rPr>
        <w:t>alcoholic fatty liver disease based on principal component and orthogonal partial least squares discriminant analysis. Experimental and Therapeutic Medicine. 2017,14(5):4958-4966.</w:t>
      </w:r>
    </w:p>
    <w:p>
      <w:pPr>
        <w:rPr>
          <w:rFonts w:ascii="Times New Roman" w:hAnsi="仿宋" w:eastAsia="仿宋" w:cs="Times New Roman"/>
          <w:szCs w:val="21"/>
        </w:rPr>
      </w:pPr>
      <w:r>
        <w:rPr>
          <w:rFonts w:hint="eastAsia" w:ascii="Times New Roman" w:hAnsi="仿宋" w:eastAsia="仿宋" w:cs="Times New Roman"/>
          <w:szCs w:val="21"/>
        </w:rPr>
        <w:t>[33]Zhaohuan Lou, Junwei Wang, Yingjun Chen, Chandi Xu, Xinyi Chen, Tiejuan Shao, Kena Zang, Hongying Pan. Linderae radix ethanol extract attenuates alcoholic liver injury via attenuating inflammation and regulating gut microbiota in rats. BrazJMedBiol Res,2019,52(6)e7628; doi: 10.1590/1414-431x20197628.</w:t>
      </w:r>
    </w:p>
    <w:p>
      <w:pPr>
        <w:rPr>
          <w:rFonts w:ascii="Times New Roman" w:hAnsi="仿宋" w:eastAsia="仿宋" w:cs="Times New Roman"/>
          <w:szCs w:val="21"/>
        </w:rPr>
      </w:pPr>
      <w:r>
        <w:rPr>
          <w:rFonts w:hint="eastAsia" w:ascii="Times New Roman" w:hAnsi="仿宋" w:eastAsia="仿宋" w:cs="Times New Roman"/>
          <w:szCs w:val="21"/>
        </w:rPr>
        <w:t xml:space="preserve">[34]Jiang T, Xu C, Liu H, Liu M, Wang M, Jiang J, Zhang G, Yang C, Huang J and Lou Z .Linderae Radix Ethanol Extract Alleviates Diet-Induced Hyperlipidemia by Regulating Bile Acid Metabolism Through gut Microbiota. Front. Pharmacol. 2021,12:627920. </w:t>
      </w:r>
    </w:p>
    <w:p>
      <w:pPr>
        <w:ind w:firstLine="420" w:firstLineChars="150"/>
        <w:rPr>
          <w:rFonts w:ascii="Times New Roman" w:hAnsi="仿宋" w:eastAsia="仿宋" w:cs="Times New Roman"/>
          <w:sz w:val="28"/>
          <w:szCs w:val="28"/>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0FC709"/>
    <w:multiLevelType w:val="singleLevel"/>
    <w:tmpl w:val="9E0FC709"/>
    <w:lvl w:ilvl="0" w:tentative="0">
      <w:start w:val="1"/>
      <w:numFmt w:val="decimal"/>
      <w:suff w:val="nothing"/>
      <w:lvlText w:val="（%1）"/>
      <w:lvlJc w:val="left"/>
    </w:lvl>
  </w:abstractNum>
  <w:abstractNum w:abstractNumId="1">
    <w:nsid w:val="CEDB6DEF"/>
    <w:multiLevelType w:val="singleLevel"/>
    <w:tmpl w:val="CEDB6DEF"/>
    <w:lvl w:ilvl="0" w:tentative="0">
      <w:start w:val="5"/>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071E1D"/>
    <w:rsid w:val="000168CE"/>
    <w:rsid w:val="00071863"/>
    <w:rsid w:val="000750E9"/>
    <w:rsid w:val="000758DB"/>
    <w:rsid w:val="000C1ADE"/>
    <w:rsid w:val="000F3034"/>
    <w:rsid w:val="00110D14"/>
    <w:rsid w:val="00114A5E"/>
    <w:rsid w:val="00122412"/>
    <w:rsid w:val="00194764"/>
    <w:rsid w:val="001A025E"/>
    <w:rsid w:val="001E5B8B"/>
    <w:rsid w:val="00234D63"/>
    <w:rsid w:val="0028598A"/>
    <w:rsid w:val="003C06FE"/>
    <w:rsid w:val="003C779D"/>
    <w:rsid w:val="003D0EF8"/>
    <w:rsid w:val="003D4DDC"/>
    <w:rsid w:val="0045148D"/>
    <w:rsid w:val="004809B9"/>
    <w:rsid w:val="004A3EE4"/>
    <w:rsid w:val="005219B5"/>
    <w:rsid w:val="0052312B"/>
    <w:rsid w:val="005525C5"/>
    <w:rsid w:val="00572172"/>
    <w:rsid w:val="00584B66"/>
    <w:rsid w:val="00600D1D"/>
    <w:rsid w:val="00662481"/>
    <w:rsid w:val="006B0363"/>
    <w:rsid w:val="006B2986"/>
    <w:rsid w:val="006D3B5E"/>
    <w:rsid w:val="007347A3"/>
    <w:rsid w:val="007377B5"/>
    <w:rsid w:val="0078260E"/>
    <w:rsid w:val="007C5B57"/>
    <w:rsid w:val="007D35EE"/>
    <w:rsid w:val="008050EB"/>
    <w:rsid w:val="008208D1"/>
    <w:rsid w:val="00836BF8"/>
    <w:rsid w:val="00837DEA"/>
    <w:rsid w:val="00851DA2"/>
    <w:rsid w:val="008737D2"/>
    <w:rsid w:val="008B58CF"/>
    <w:rsid w:val="008D554A"/>
    <w:rsid w:val="00905C24"/>
    <w:rsid w:val="00913ADE"/>
    <w:rsid w:val="00931B79"/>
    <w:rsid w:val="0095102C"/>
    <w:rsid w:val="00966701"/>
    <w:rsid w:val="00996855"/>
    <w:rsid w:val="009C390C"/>
    <w:rsid w:val="00A02ED5"/>
    <w:rsid w:val="00A6439B"/>
    <w:rsid w:val="00A86A38"/>
    <w:rsid w:val="00AF2A37"/>
    <w:rsid w:val="00B32862"/>
    <w:rsid w:val="00B57FC1"/>
    <w:rsid w:val="00B85568"/>
    <w:rsid w:val="00BA07E9"/>
    <w:rsid w:val="00C66B36"/>
    <w:rsid w:val="00C837AF"/>
    <w:rsid w:val="00C93CF9"/>
    <w:rsid w:val="00CA2B12"/>
    <w:rsid w:val="00CD60A8"/>
    <w:rsid w:val="00D57C96"/>
    <w:rsid w:val="00D863D2"/>
    <w:rsid w:val="00DB15D3"/>
    <w:rsid w:val="00DD7D64"/>
    <w:rsid w:val="00DE7FEC"/>
    <w:rsid w:val="00DF3312"/>
    <w:rsid w:val="00E1057B"/>
    <w:rsid w:val="00E23C35"/>
    <w:rsid w:val="00E6140F"/>
    <w:rsid w:val="00EF417F"/>
    <w:rsid w:val="00EF657F"/>
    <w:rsid w:val="00F06FA7"/>
    <w:rsid w:val="00F8464F"/>
    <w:rsid w:val="00FC06FB"/>
    <w:rsid w:val="00FC22DF"/>
    <w:rsid w:val="00FE4AB5"/>
    <w:rsid w:val="01821B89"/>
    <w:rsid w:val="06AE19EA"/>
    <w:rsid w:val="09C96593"/>
    <w:rsid w:val="0BC84FE9"/>
    <w:rsid w:val="0E4A6D62"/>
    <w:rsid w:val="0EE841D8"/>
    <w:rsid w:val="0F892A69"/>
    <w:rsid w:val="1062072F"/>
    <w:rsid w:val="1384034C"/>
    <w:rsid w:val="182F6BE1"/>
    <w:rsid w:val="1A6A6D41"/>
    <w:rsid w:val="1BDF57A7"/>
    <w:rsid w:val="1CCC2931"/>
    <w:rsid w:val="1F071E1D"/>
    <w:rsid w:val="243D4DCE"/>
    <w:rsid w:val="2644308B"/>
    <w:rsid w:val="27526727"/>
    <w:rsid w:val="2C3F7EED"/>
    <w:rsid w:val="327B5E95"/>
    <w:rsid w:val="334C3870"/>
    <w:rsid w:val="35F96D82"/>
    <w:rsid w:val="361E4551"/>
    <w:rsid w:val="3796779C"/>
    <w:rsid w:val="384607F8"/>
    <w:rsid w:val="399B3FDB"/>
    <w:rsid w:val="3B4E4D52"/>
    <w:rsid w:val="3C49235C"/>
    <w:rsid w:val="3E257FFA"/>
    <w:rsid w:val="48CC0172"/>
    <w:rsid w:val="494665ED"/>
    <w:rsid w:val="4CA42676"/>
    <w:rsid w:val="4EE0149B"/>
    <w:rsid w:val="4FD85302"/>
    <w:rsid w:val="559E03C0"/>
    <w:rsid w:val="56D545A2"/>
    <w:rsid w:val="5A045FAA"/>
    <w:rsid w:val="62857D4F"/>
    <w:rsid w:val="6330480B"/>
    <w:rsid w:val="63F9125E"/>
    <w:rsid w:val="64345458"/>
    <w:rsid w:val="64795811"/>
    <w:rsid w:val="6BD47B42"/>
    <w:rsid w:val="6E4108FF"/>
    <w:rsid w:val="6F21595E"/>
    <w:rsid w:val="725A5B9A"/>
    <w:rsid w:val="73FA55D9"/>
    <w:rsid w:val="752F2918"/>
    <w:rsid w:val="78B663C1"/>
    <w:rsid w:val="7DE81DE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outlineLvl w:val="1"/>
    </w:pPr>
    <w:rPr>
      <w:rFonts w:eastAsia="仿宋" w:asciiTheme="majorHAnsi" w:hAnsiTheme="majorHAnsi" w:cstheme="majorBidi"/>
      <w:b/>
      <w:bCs/>
      <w:sz w:val="28"/>
      <w:szCs w:val="32"/>
    </w:rPr>
  </w:style>
  <w:style w:type="paragraph" w:styleId="3">
    <w:name w:val="heading 3"/>
    <w:basedOn w:val="1"/>
    <w:next w:val="1"/>
    <w:link w:val="20"/>
    <w:semiHidden/>
    <w:unhideWhenUsed/>
    <w:qFormat/>
    <w:uiPriority w:val="0"/>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Date"/>
    <w:basedOn w:val="1"/>
    <w:next w:val="1"/>
    <w:link w:val="21"/>
    <w:qFormat/>
    <w:uiPriority w:val="0"/>
    <w:pPr>
      <w:ind w:left="100" w:leftChars="2500"/>
    </w:pPr>
  </w:style>
  <w:style w:type="paragraph" w:styleId="6">
    <w:name w:val="endnote text"/>
    <w:basedOn w:val="1"/>
    <w:qFormat/>
    <w:uiPriority w:val="0"/>
    <w:pPr>
      <w:snapToGrid w:val="0"/>
      <w:jc w:val="left"/>
    </w:pPr>
  </w:style>
  <w:style w:type="paragraph" w:styleId="7">
    <w:name w:val="Balloon Text"/>
    <w:basedOn w:val="1"/>
    <w:link w:val="19"/>
    <w:qFormat/>
    <w:uiPriority w:val="0"/>
    <w:rPr>
      <w:sz w:val="18"/>
      <w:szCs w:val="18"/>
    </w:r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ndnote reference"/>
    <w:basedOn w:val="13"/>
    <w:qFormat/>
    <w:uiPriority w:val="0"/>
    <w:rPr>
      <w:vertAlign w:val="superscript"/>
    </w:rPr>
  </w:style>
  <w:style w:type="character" w:styleId="15">
    <w:name w:val="Emphasis"/>
    <w:basedOn w:val="13"/>
    <w:qFormat/>
    <w:uiPriority w:val="0"/>
    <w:rPr>
      <w:i/>
    </w:rPr>
  </w:style>
  <w:style w:type="character" w:styleId="16">
    <w:name w:val="Hyperlink"/>
    <w:basedOn w:val="13"/>
    <w:unhideWhenUsed/>
    <w:qFormat/>
    <w:uiPriority w:val="99"/>
    <w:rPr>
      <w:color w:val="0000FF"/>
      <w:u w:val="single"/>
    </w:rPr>
  </w:style>
  <w:style w:type="character" w:customStyle="1" w:styleId="17">
    <w:name w:val="页眉 Char"/>
    <w:basedOn w:val="13"/>
    <w:link w:val="9"/>
    <w:qFormat/>
    <w:uiPriority w:val="0"/>
    <w:rPr>
      <w:rFonts w:asciiTheme="minorHAnsi" w:hAnsiTheme="minorHAnsi" w:eastAsiaTheme="minorEastAsia" w:cstheme="minorBidi"/>
      <w:kern w:val="2"/>
      <w:sz w:val="18"/>
      <w:szCs w:val="18"/>
    </w:rPr>
  </w:style>
  <w:style w:type="character" w:customStyle="1" w:styleId="18">
    <w:name w:val="页脚 Char"/>
    <w:basedOn w:val="13"/>
    <w:link w:val="8"/>
    <w:qFormat/>
    <w:uiPriority w:val="0"/>
    <w:rPr>
      <w:rFonts w:asciiTheme="minorHAnsi" w:hAnsiTheme="minorHAnsi" w:eastAsiaTheme="minorEastAsia" w:cstheme="minorBidi"/>
      <w:kern w:val="2"/>
      <w:sz w:val="18"/>
      <w:szCs w:val="18"/>
    </w:rPr>
  </w:style>
  <w:style w:type="character" w:customStyle="1" w:styleId="19">
    <w:name w:val="批注框文本 Char"/>
    <w:basedOn w:val="13"/>
    <w:link w:val="7"/>
    <w:qFormat/>
    <w:uiPriority w:val="0"/>
    <w:rPr>
      <w:rFonts w:asciiTheme="minorHAnsi" w:hAnsiTheme="minorHAnsi" w:eastAsiaTheme="minorEastAsia" w:cstheme="minorBidi"/>
      <w:kern w:val="2"/>
      <w:sz w:val="18"/>
      <w:szCs w:val="18"/>
    </w:rPr>
  </w:style>
  <w:style w:type="character" w:customStyle="1" w:styleId="20">
    <w:name w:val="标题 3 Char"/>
    <w:basedOn w:val="13"/>
    <w:link w:val="3"/>
    <w:semiHidden/>
    <w:qFormat/>
    <w:uiPriority w:val="0"/>
    <w:rPr>
      <w:rFonts w:asciiTheme="minorHAnsi" w:hAnsiTheme="minorHAnsi" w:eastAsiaTheme="minorEastAsia" w:cstheme="minorBidi"/>
      <w:b/>
      <w:bCs/>
      <w:kern w:val="2"/>
      <w:sz w:val="32"/>
      <w:szCs w:val="32"/>
    </w:rPr>
  </w:style>
  <w:style w:type="character" w:customStyle="1" w:styleId="21">
    <w:name w:val="日期 Char"/>
    <w:basedOn w:val="13"/>
    <w:link w:val="5"/>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5E38A8-46FA-454C-8B53-E30BB2BD0DAE}">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16</Pages>
  <Words>1977</Words>
  <Characters>11275</Characters>
  <Lines>93</Lines>
  <Paragraphs>26</Paragraphs>
  <TotalTime>7</TotalTime>
  <ScaleCrop>false</ScaleCrop>
  <LinksUpToDate>false</LinksUpToDate>
  <CharactersWithSpaces>13226</CharactersWithSpaces>
  <Application>WPS Office_11.1.0.10650_F1E327BC-269C-435d-A152-05C5408002CA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2018-11-15T02:58:00Z</dcterms:created>
  <dc:creator>Lenovo</dc:creator>
  <cp:lastModifiedBy>张宸源</cp:lastModifiedBy>
  <cp:lastPrinted>2018-12-17T04:22:00Z</cp:lastPrinted>
  <dcterms:modified xsi:type="dcterms:W3CDTF">2023-03-15T14:21:18Z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2052-11.1.0.10650</vt:lpwstr>
  </property>
  <property fmtid="{D5CDD505-2E9C-101B-9397-08002B2CF9AE}" pid="3" name="ICV">
    <vt:lpwstr>9B26E9252E6A4B73BA8BDBDC13EE6435</vt:lpwstr>
  </property>
</Properties>
</file>