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DJPR</w:t>
      </w:r>
      <w:r>
        <w:t xml:space="preserve"> </w:t>
      </w:r>
      <w:r>
        <w:t xml:space="preserve">Labour</w:t>
      </w:r>
      <w:r>
        <w:t xml:space="preserve"> </w:t>
      </w:r>
      <w:r>
        <w:t xml:space="preserve">Force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August,</w:t>
      </w:r>
      <w:r>
        <w:t xml:space="preserve"> </w:t>
      </w:r>
      <w:r>
        <w:t xml:space="preserve">2021</w:t>
      </w:r>
    </w:p>
    <w:p>
      <w:pPr>
        <w:pStyle w:val="Heading3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Victorian employment summary, June 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</w:tblGrid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JUN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JUN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4.4%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-2.9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-2.7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Regional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-2.8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Unemployed persons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160,200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-13,000</w:t>
              <w:br/>
              <w:t xml:space="preserve">(-7.5%)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-99,300</w:t>
              <w:br/>
              <w:t xml:space="preserve">(-38.3%)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-51,100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Employed persons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3.445m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-9,200</w:t>
              <w:br/>
              <w:t xml:space="preserve">(-0.3%)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172,100</w:t>
              <w:br/>
              <w:t xml:space="preserve">(5.3%)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523,800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Employed full-time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2.349m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3,600</w:t>
              <w:br/>
              <w:t xml:space="preserve">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103,500</w:t>
              <w:br/>
              <w:t xml:space="preserve">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372,900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Employed part-time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1.096m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-12,800</w:t>
              <w:br/>
              <w:t xml:space="preserve">(-1.2%)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68,600</w:t>
              <w:br/>
              <w:t xml:space="preserve">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150,900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1.834m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6,800</w:t>
              <w:br/>
              <w:t xml:space="preserve">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84,000</w:t>
              <w:br/>
              <w:t xml:space="preserve">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251,300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1.611m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-16,100</w:t>
              <w:br/>
              <w:t xml:space="preserve">(-1%)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88,000</w:t>
              <w:br/>
              <w:t xml:space="preserve">(5.8%)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272,500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448,100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5,300</w:t>
              <w:br/>
              <w:t xml:space="preserve">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-41,200</w:t>
              <w:br/>
              <w:t xml:space="preserve">(-8.4%)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5,000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Participation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1.5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-1.7 ppts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Monthly hours worked in all jobs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435.1m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-39.68m</w:t>
              <w:br/>
              <w:t xml:space="preserve">(-8.4%)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1.763m</w:t>
              <w:br/>
              <w:t xml:space="preserve">(0.4%)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34.994m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-3.2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Underutilisation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14.5%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-6.1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68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Employment to population ratio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2.9 ppts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4"/>
                <w:szCs w:val="14"/>
                <w:color w:val="343A40"/>
              </w:rPr>
              <w:t xml:space="preserve">Sources: ABS Labour Force monthly (latest data is from June 2021) and ABS Labour Force detailed monthly (latest data is from June 2021).</w:t>
              <w:br/>
              <w:t xml:space="preserve">Notes:  All data seasonally adjusted, other than youth figures, which are smoothed using a 12-month rolling average, and regional figures, which are smoothed using a 3-month rolling average.</w:t>
            </w:r>
          </w:p>
        </w:tc>
      </w:tr>
    </w:tbl>
    <w:p>
      <w:pPr>
        <w:pStyle w:val="BodyText"/>
      </w:pPr>
    </w:p>
    <w:p>
      <w:pPr>
        <w:pStyle w:val="Heading3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Victorian employment summary by sex, June 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</w:tblGrid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JUN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JUN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employment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1.834m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6,800</w:t>
              <w:br/>
              <w:t xml:space="preserve">(0.4%)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84,000</w:t>
              <w:br/>
              <w:t xml:space="preserve">(4.8%)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251,300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1.611m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-16,100</w:t>
              <w:br/>
              <w:t xml:space="preserve">(-1%)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88,000</w:t>
              <w:br/>
              <w:t xml:space="preserve">(5.8%)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272,500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unemployed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76,900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-7,500</w:t>
              <w:br/>
              <w:t xml:space="preserve">(-8.9%)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-55,400</w:t>
              <w:br/>
              <w:t xml:space="preserve">(-41.9%)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-37,700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unemployed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-5,500</w:t>
              <w:br/>
              <w:t xml:space="preserve">(-6.2%)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-43,900</w:t>
              <w:br/>
              <w:t xml:space="preserve">(-34.5%)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-13,400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-2.7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</w:tr>
      <w:tr>
        <w:trPr>
          <w:cantSplit/>
          <w:trHeight w:val="684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participation rate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61.0%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-0.8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 ppts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4"/>
                <w:szCs w:val="14"/>
                <w:color w:val="343A40"/>
              </w:rPr>
              <w:t xml:space="preserve">Sources: ABS Labour Force monthly (latest data is from June 2021).</w:t>
            </w:r>
          </w:p>
        </w:tc>
      </w:tr>
    </w:tbl>
    <w:p>
      <w:pPr>
        <w:pStyle w:val="BodyText"/>
      </w:pPr>
    </w:p>
    <w:p>
      <w:pPr>
        <w:pStyle w:val="Heading3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Unemployment rate by state, June 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</w:tblGrid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JUN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JUN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Australia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-2.4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-1.4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Victoria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New South Wales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-1.1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Queensland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Western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South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-1.3 ppts</w:t>
            </w:r>
          </w:p>
        </w:tc>
      </w:tr>
      <w:tr>
        <w:trPr>
          <w:cantSplit/>
          <w:trHeight w:val="684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Tasmania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4.5%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-1.2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4"/>
                <w:szCs w:val="14"/>
                <w:color w:val="343A40"/>
              </w:rPr>
              <w:t xml:space="preserve">Sources: ABS Labour Force monthly (latest data is from June 2021).</w:t>
            </w:r>
          </w:p>
        </w:tc>
      </w:tr>
    </w:tbl>
    <w:p>
      <w:r>
        <w:br w:type="page"/>
      </w:r>
    </w:p>
    <w:bookmarkStart w:id="20" w:name="youth"/>
    <w:p>
      <w:pPr>
        <w:pStyle w:val="Heading2"/>
      </w:pPr>
      <w:r>
        <w:t xml:space="preserve">Youth</w:t>
      </w:r>
    </w:p>
    <w:p>
      <w:pPr>
        <w:pStyle w:val="FirstParagraph"/>
      </w:pPr>
      <w:r>
        <w:t xml:space="preserve">Youth labour market data provides insights into headline figures. Youth labour force data is volatile therefore DJPR smooths the data by using 12-month averages. While this assists in observing underlying trends, it makes large month-to-month changes in underlying conditions</w:t>
      </w:r>
      <w:r>
        <w:t xml:space="preserve"> </w:t>
      </w:r>
      <w:r>
        <w:t xml:space="preserve">less apparent.</w:t>
      </w:r>
    </w:p>
    <w:p>
      <w:pPr>
        <w:pStyle w:val="Heading3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Victorian youth (15-24) labour force status summary, June 2021 (12-month average)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</w:tblGrid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JUN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JUN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Youth employment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448,100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5,300</w:t>
              <w:br/>
              <w:t xml:space="preserve">(1.2%)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-41,200</w:t>
              <w:br/>
              <w:t xml:space="preserve">(-8.4%)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4,100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Youth 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-0.7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youth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-1.1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youth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 ppts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Unemployed young people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73,200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-3,200</w:t>
              <w:br/>
              <w:t xml:space="preserve">(-4.2%)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8,100</w:t>
              <w:br/>
              <w:t xml:space="preserve">(12.4%)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-2,600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Youth participation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63.8%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-1.7 ppts</w:t>
            </w:r>
          </w:p>
        </w:tc>
      </w:tr>
      <w:tr>
        <w:trPr>
          <w:cantSplit/>
          <w:trHeight w:val="684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Participation rate - young people not in full-time study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83.7%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-1.6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-3.3 ppts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4"/>
                <w:szCs w:val="14"/>
                <w:color w:val="343A40"/>
              </w:rPr>
              <w:t xml:space="preserve">Sources: ABS Labour Force monthly (latest data is from June 2021) and ABS Labour Force detailed monthly (latest data is from June 2021).</w:t>
              <w:br/>
              <w:t xml:space="preserve">Notes: Data not seasonally adjusted; smoothed using a 12-month rolling average.</w:t>
            </w:r>
          </w:p>
        </w:tc>
      </w:tr>
    </w:tbl>
    <w:p>
      <w:r>
        <w:br w:type="page"/>
      </w:r>
    </w:p>
    <w:p>
      <w:pPr>
        <w:pStyle w:val="Heading3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Youth (15-24) unemployment rate across Victoria, June 2021 (12-month average)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</w:tblGrid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JUN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JUN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Regional Victoria youth 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10.7%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1.2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-5.0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Ballarat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-1.4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Bendigo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-6.4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Geelong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-8.1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Hume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Latrobe - Gippsland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Shepparton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-7.1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Victoria - North 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-11.4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Warrnambool and South 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-11.0 ppts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Greater Melbourne youth 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-0.7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2.6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0.8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Inner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1.2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Inner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-0.7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Inner 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-1.0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North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-1.4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North 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-1.2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Outer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-1.3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South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6.4 ppts</w:t>
            </w:r>
          </w:p>
        </w:tc>
      </w:tr>
      <w:tr>
        <w:trPr>
          <w:cantSplit/>
          <w:trHeight w:val="684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Mornington Peninsula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14.4%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-1.2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0.8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-1.9 ppts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4"/>
                <w:szCs w:val="14"/>
                <w:color w:val="343A40"/>
              </w:rPr>
              <w:t xml:space="preserve">Sources: ABS Labour Force detailed monthly (latest data is from June 2021).</w:t>
            </w:r>
          </w:p>
        </w:tc>
      </w:tr>
    </w:tbl>
    <w:p>
      <w:r>
        <w:br w:type="page"/>
      </w:r>
    </w:p>
    <w:bookmarkEnd w:id="20"/>
    <w:bookmarkStart w:id="21" w:name="regional-victoria"/>
    <w:p>
      <w:pPr>
        <w:pStyle w:val="Heading2"/>
      </w:pPr>
      <w:r>
        <w:t xml:space="preserve">Regional Victoria</w:t>
      </w:r>
    </w:p>
    <w:p>
      <w:pPr>
        <w:pStyle w:val="FirstParagraph"/>
      </w:pPr>
      <w:r>
        <w:t xml:space="preserve">Regional labour force data is volatile, therefore DJPR and other VPS agencies smooth the data by using 3-month averages. While this assists in observing underlying trends, it makes large month-to-month changes in underlying conditions less apparent.</w:t>
      </w:r>
    </w:p>
    <w:bookmarkEnd w:id="21"/>
    <w:sectPr xmlns:w="http://schemas.openxmlformats.org/wordprocessingml/2006/main">
      <w:pgMar w:header="720" w:bottom="432" w:top="72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C0"/>
    <w:pPr>
      <w:spacing w:before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7B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AE4"/>
    <w:pPr>
      <w:keepNext/>
      <w:keepLines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7C2"/>
    <w:pPr>
      <w:keepNext/>
      <w:keepLines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7B5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7B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AE4"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7C2"/>
    <w:rPr>
      <w:rFonts w:ascii="Arial" w:eastAsiaTheme="majorEastAsia" w:hAnsi="Arial" w:cstheme="majorBidi"/>
      <w:b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7B5"/>
    <w:rPr>
      <w:rFonts w:ascii="Arial" w:eastAsiaTheme="majorEastAsia" w:hAnsi="Arial" w:cstheme="majorBidi"/>
      <w:iCs/>
      <w:color w:val="000000" w:themeColor="text1"/>
      <w:sz w:val="2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377B5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7B5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7B5"/>
    <w:pPr>
      <w:numPr>
        <w:ilvl w:val="1"/>
      </w:numPr>
      <w:spacing w:after="160"/>
    </w:pPr>
    <w:rPr>
      <w:rFonts w:eastAsiaTheme="minorEastAsia"/>
      <w:color w:val="000000" w:themeColor="text1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377B5"/>
    <w:rPr>
      <w:rFonts w:ascii="Arial" w:eastAsiaTheme="minorEastAsia" w:hAnsi="Arial"/>
      <w:color w:val="000000" w:themeColor="text1"/>
      <w:spacing w:val="15"/>
      <w:sz w:val="28"/>
      <w:szCs w:val="22"/>
    </w:rPr>
  </w:style>
  <w:style w:type="character" w:styleId="SubtleEmphasis">
    <w:name w:val="Subtle Emphasis"/>
    <w:basedOn w:val="DefaultParagraphFont"/>
    <w:uiPriority w:val="19"/>
    <w:qFormat/>
    <w:rsid w:val="005377B5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377B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377B5"/>
    <w:rPr>
      <w:rFonts w:ascii="Arial" w:hAnsi="Arial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377B5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5377B5"/>
    <w:pPr>
      <w:ind w:left="720"/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file10ab443f5b360.png"/>
<Relationship Id="rId10" Type="http://schemas.openxmlformats.org/officeDocument/2006/relationships/image" Target="media/file10ab437d3867b.png"/>
<Relationship Id="rId11" Type="http://schemas.openxmlformats.org/officeDocument/2006/relationships/image" Target="media/file10ab4202211df.png"/>
<Relationship Id="rId12" Type="http://schemas.openxmlformats.org/officeDocument/2006/relationships/image" Target="media/file10ab41cc357f4.png"/>
<Relationship Id="rId13" Type="http://schemas.openxmlformats.org/officeDocument/2006/relationships/image" Target="media/file10ab45cc362ec.png"/>
<Relationship Id="rId14" Type="http://schemas.openxmlformats.org/officeDocument/2006/relationships/image" Target="media/file10ab41f93a388.png"/>
<Relationship Id="rId15" Type="http://schemas.openxmlformats.org/officeDocument/2006/relationships/image" Target="media/file10ab415d545ea.png"/>
<Relationship Id="rId16" Type="http://schemas.openxmlformats.org/officeDocument/2006/relationships/image" Target="media/file10ab464e110d8.png"/>
<Relationship Id="rId17" Type="http://schemas.openxmlformats.org/officeDocument/2006/relationships/image" Target="media/file10ab4741908a5.png"/>
<Relationship Id="rId18" Type="http://schemas.openxmlformats.org/officeDocument/2006/relationships/image" Target="media/file10ab41786c42f.png"/>
<Relationship Id="rId19" Type="http://schemas.openxmlformats.org/officeDocument/2006/relationships/image" Target="media/file10ab410b9f5ba.png"/>
<Relationship Id="rId20" Type="http://schemas.openxmlformats.org/officeDocument/2006/relationships/image" Target="media/file10ab420b38eea.png"/>
<Relationship Id="rId21" Type="http://schemas.openxmlformats.org/officeDocument/2006/relationships/image" Target="media/file10ab46c6bb56b.png"/>
<Relationship Id="rId22" Type="http://schemas.openxmlformats.org/officeDocument/2006/relationships/image" Target="media/file10ab41353bb69.png"/>
<Relationship Id="rId23" Type="http://schemas.openxmlformats.org/officeDocument/2006/relationships/image" Target="media/file10ab45e34f468.png"/>
<Relationship Id="rId24" Type="http://schemas.openxmlformats.org/officeDocument/2006/relationships/image" Target="media/file10ab4669a0829.png"/>
<Relationship Id="rId25" Type="http://schemas.openxmlformats.org/officeDocument/2006/relationships/image" Target="media/file10ab4a8df05f.png"/>
<Relationship Id="rId26" Type="http://schemas.openxmlformats.org/officeDocument/2006/relationships/image" Target="media/file10ab46c9ff262.png"/>
<Relationship Id="rId27" Type="http://schemas.openxmlformats.org/officeDocument/2006/relationships/image" Target="media/file10ab478e237a4.png"/>
<Relationship Id="rId28" Type="http://schemas.openxmlformats.org/officeDocument/2006/relationships/image" Target="media/file10ab44bb32dfc.png"/>
<Relationship Id="rId29" Type="http://schemas.openxmlformats.org/officeDocument/2006/relationships/image" Target="media/file10ab460902237.png"/>
<Relationship Id="rId30" Type="http://schemas.openxmlformats.org/officeDocument/2006/relationships/image" Target="media/file10ab416b67a68.png"/>
<Relationship Id="rId31" Type="http://schemas.openxmlformats.org/officeDocument/2006/relationships/image" Target="media/file10ab4261e4d7e.png"/>
<Relationship Id="rId32" Type="http://schemas.openxmlformats.org/officeDocument/2006/relationships/image" Target="media/file10ab4f719ebf.png"/>
<Relationship Id="rId33" Type="http://schemas.openxmlformats.org/officeDocument/2006/relationships/image" Target="media/file10ab46c6d1584.png"/>
<Relationship Id="rId34" Type="http://schemas.openxmlformats.org/officeDocument/2006/relationships/image" Target="media/file10ab46d9fc4b8.png"/>
<Relationship Id="rId35" Type="http://schemas.openxmlformats.org/officeDocument/2006/relationships/image" Target="media/file10ab4142c4442.png"/>
<Relationship Id="rId36" Type="http://schemas.openxmlformats.org/officeDocument/2006/relationships/image" Target="media/file10ab466355366.png"/>
<Relationship Id="rId37" Type="http://schemas.openxmlformats.org/officeDocument/2006/relationships/image" Target="media/file10ab436f681f6.png"/>
<Relationship Id="rId38" Type="http://schemas.openxmlformats.org/officeDocument/2006/relationships/image" Target="media/file10ab471ce59aa.png"/>
<Relationship Id="rId39" Type="http://schemas.openxmlformats.org/officeDocument/2006/relationships/image" Target="media/file10ab42260e245.png"/>
<Relationship Id="rId40" Type="http://schemas.openxmlformats.org/officeDocument/2006/relationships/image" Target="media/file10ab46a731a5.png"/>
<Relationship Id="rId41" Type="http://schemas.openxmlformats.org/officeDocument/2006/relationships/image" Target="media/file10ab44aac4b0c.png"/>
<Relationship Id="rId42" Type="http://schemas.openxmlformats.org/officeDocument/2006/relationships/image" Target="media/file10ab475732720.png"/>
<Relationship Id="rId43" Type="http://schemas.openxmlformats.org/officeDocument/2006/relationships/image" Target="media/file10ab45b0de21d.png"/>
<Relationship Id="rId44" Type="http://schemas.openxmlformats.org/officeDocument/2006/relationships/image" Target="media/file10ab46c780c9e.png"/>
<Relationship Id="rId45" Type="http://schemas.openxmlformats.org/officeDocument/2006/relationships/image" Target="media/file10ab43d8490b4.png"/>
<Relationship Id="rId46" Type="http://schemas.openxmlformats.org/officeDocument/2006/relationships/image" Target="media/file10ab44a3838f9.png"/>
<Relationship Id="rId47" Type="http://schemas.openxmlformats.org/officeDocument/2006/relationships/image" Target="media/file10ab431248980.png"/>
<Relationship Id="rId48" Type="http://schemas.openxmlformats.org/officeDocument/2006/relationships/image" Target="media/file10ab455bf4bb4.png"/>
<Relationship Id="rId49" Type="http://schemas.openxmlformats.org/officeDocument/2006/relationships/image" Target="media/file10ab42034267.png"/>
<Relationship Id="rId50" Type="http://schemas.openxmlformats.org/officeDocument/2006/relationships/image" Target="media/file10ab423fc7939.png"/>
<Relationship Id="rId51" Type="http://schemas.openxmlformats.org/officeDocument/2006/relationships/image" Target="media/file10ab4147a9fa4.png"/>
<Relationship Id="rId52" Type="http://schemas.openxmlformats.org/officeDocument/2006/relationships/image" Target="media/file10ab47e86d27c.png"/>
<Relationship Id="rId53" Type="http://schemas.openxmlformats.org/officeDocument/2006/relationships/image" Target="media/file10ab445650bc9.png"/>
<Relationship Id="rId54" Type="http://schemas.openxmlformats.org/officeDocument/2006/relationships/image" Target="media/file10ab46ce8dcb6.png"/>
<Relationship Id="rId55" Type="http://schemas.openxmlformats.org/officeDocument/2006/relationships/image" Target="media/file10ab42bf26896.png"/>
<Relationship Id="rId56" Type="http://schemas.openxmlformats.org/officeDocument/2006/relationships/image" Target="media/file10ab437b06664.png"/>
<Relationship Id="rId57" Type="http://schemas.openxmlformats.org/officeDocument/2006/relationships/image" Target="media/file10ab41e124bcc.png"/>
<Relationship Id="rId58" Type="http://schemas.openxmlformats.org/officeDocument/2006/relationships/image" Target="media/file10ab4432e4d80.png"/>
<Relationship Id="rId59" Type="http://schemas.openxmlformats.org/officeDocument/2006/relationships/image" Target="media/file10ab414e230f5.png"/>
<Relationship Id="rId60" Type="http://schemas.openxmlformats.org/officeDocument/2006/relationships/image" Target="media/file10ab4dfc2f89.png"/>
<Relationship Id="rId61" Type="http://schemas.openxmlformats.org/officeDocument/2006/relationships/image" Target="media/file10ab42794d28b.png"/>
<Relationship Id="rId62" Type="http://schemas.openxmlformats.org/officeDocument/2006/relationships/image" Target="media/file10ab41b8ab7fa.png"/>
<Relationship Id="rId63" Type="http://schemas.openxmlformats.org/officeDocument/2006/relationships/image" Target="media/file10ab430348c36.png"/>
<Relationship Id="rId64" Type="http://schemas.openxmlformats.org/officeDocument/2006/relationships/image" Target="media/file10ab449e145f3.png"/>
<Relationship Id="rId65" Type="http://schemas.openxmlformats.org/officeDocument/2006/relationships/image" Target="media/file10ab464b77a69.png"/>
<Relationship Id="rId66" Type="http://schemas.openxmlformats.org/officeDocument/2006/relationships/image" Target="media/file10ab449c5b727.png"/>
<Relationship Id="rId67" Type="http://schemas.openxmlformats.org/officeDocument/2006/relationships/image" Target="media/file10ab4537b8747.png"/>
<Relationship Id="rId68" Type="http://schemas.openxmlformats.org/officeDocument/2006/relationships/image" Target="media/file10ab452ee7122.png"/>
<Relationship Id="rId69" Type="http://schemas.openxmlformats.org/officeDocument/2006/relationships/image" Target="media/file10ab4244599b7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DJPR Labour Force Summary</dc:title>
  <dc:creator/>
  <cp:keywords/>
  <dcterms:created xsi:type="dcterms:W3CDTF">2021-08-05T02:05:36Z</dcterms:created>
  <dcterms:modified xsi:type="dcterms:W3CDTF">2021-08-05T12:05:36Z</dcterms:modified>
  <cp:lastModifiedBy>mcowgill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August, 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