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svg" ContentType="image/svg+xml"/>
  <Override PartName="/word/media/rId36.svg" ContentType="image/svg+xml"/>
  <Override PartName="/word/media/rId24.svg" ContentType="image/svg+xml"/>
  <Override PartName="/word/media/rId27.svg" ContentType="image/svg+xml"/>
  <Override PartName="/word/media/rId31.svg" ContentType="image/svg+xml"/>
  <Override PartName="/word/media/rId60.svg" ContentType="image/svg+xml"/>
  <Override PartName="/word/media/rId40.svg" ContentType="image/svg+xml"/>
  <Override PartName="/word/media/rId43.svg" ContentType="image/svg+xml"/>
  <Override PartName="/word/media/rId4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Chemotherapy</w:t>
      </w:r>
      <w:r>
        <w:t xml:space="preserve"> </w:t>
      </w:r>
      <w:r>
        <w:t xml:space="preserve">results</w:t>
      </w:r>
    </w:p>
    <w:bookmarkStart w:id="20" w:name="Xb7df3b737305dc2097c1014a1140d892b017cc0"/>
    <w:p>
      <w:pPr>
        <w:pStyle w:val="Heading3"/>
      </w:pPr>
      <w:r>
        <w:t xml:space="preserve">Results table 1. Meta-analysis summaries for percent treated with chemotherapy in the first year post-diagnosis, overall and by site (all patients).</w:t>
      </w:r>
    </w:p>
    <w:p>
      <w:pPr>
        <w:pStyle w:val="FirstParagraph"/>
      </w:pPr>
      <w:r>
        <w:t xml:space="preserve">These results are not adjusted for sex, age, cancer site, or any other variable. See also Appendix D.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(30.9%, 38.7%)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22.0%-50.0%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28.1%-43.9%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34.9%-59.8%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34.6%-66.0%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(35.9%, 43.4%)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25.7%-55.5%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28.7%-50.2%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(26.8%, 33.0%)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19.4%-43.0%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20.2%-38.2%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Colon, stage 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(54.3%, 65.6%)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38.5%-78.4%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46.2%-71.2%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45.2%)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19.2%-63.2%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23.7%-53.3%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23.1%)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4.0%-48.3%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6.6%-33.1%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17.2%-56.3%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24.4%-52.0%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17.9%-49.0%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22.9%-45.3%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(61.8%, 70.7%)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47.5%-81.2%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48.7%-75.3%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15-64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(49.2%, 54.9%)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41.9%-62.0%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44.5%-58.3%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(36.0%, 44.9%)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25.6%-57.2%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32.2%-49.9%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75-84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(16.0%, 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8.4%-40.7%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13.1%-31.7%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Age 85-99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(1.7%, 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0.3%-26.7%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0.0%-14.0%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21.8%-49.9%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28.1%-43.7%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22.2%-50.1%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28.1%-44.2%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0"/>
    <w:bookmarkStart w:id="21" w:name="X133bbaee0674a52629429dd413ee7a185736291"/>
    <w:p>
      <w:pPr>
        <w:pStyle w:val="Heading3"/>
      </w:pPr>
      <w:r>
        <w:t xml:space="preserve">Results table 2. Meta-analysis summaries for jurisdiction-specific associations with chemotherapy use.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log-odds scale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(0.95, 1.00)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0.89-1.07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0.91-1.07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(1.46, 1.64)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1.23-1.94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1.31-1.89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(0.34, 0.41)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0.25-0.55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0.28-0.50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(0.04, 0.07)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0.02-0.17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(1.69, 2.23)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1.11-3.39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1.33-3.52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(1.40, 1.71)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1.05-2.28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1.23-2.24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(0.82, 1.11)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0.51-1.79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0.54-1.32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(0.98, 1.72)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0.40-4.22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0.31-2.74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0.13-0.96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0.15-0.67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(1.06, 1.35)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0.74-1.93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0.80-1.63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(2.93, 5.22)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1.20-12.70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1.11-8.44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1"/>
    <w:bookmarkStart w:id="22" w:name="Xea9ec8ace78578c9ed98ad93f71532a7a8aaf58"/>
    <w:p>
      <w:pPr>
        <w:pStyle w:val="Heading3"/>
      </w:pPr>
      <w:r>
        <w:t xml:space="preserve">Results table 3. Meta-analysis summaries for time-to-starting-chemotherapy in patients who received chemotherapy, overall and by site (median-of-medians method, see McGrath 2020).</w:t>
      </w:r>
    </w:p>
    <w:p>
      <w:pPr>
        <w:pStyle w:val="FirstParagraph"/>
      </w:pPr>
      <w:r>
        <w:t xml:space="preserve">See also Appendices E and F.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Cancer 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All 8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(47.8, 59.3)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32.6-74.5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39.0-65.0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(49.7, 61.7)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30.9-80.6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34.0-71.0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(45.7, 56.9)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28.4-74.2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31.0-67.0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(67.1, 86.0)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40.2-112.9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55.0-113.0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(59.4, 111.7)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-15.5-186.6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47.0-167.5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(48.4, 65.7)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27.0-87.1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40.5-84.0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(44.2, 57.0)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24.2-77.0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28.0-74.0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(39.2, 49.9)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22.1-67.0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27.0-66.0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(32.7, 43.3)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16.8-59.2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28.0-62.0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2"/>
    <w:bookmarkStart w:id="23" w:name="Xb146e2320d57741d7fc5b6b0073d6ecf5e044a4"/>
    <w:p>
      <w:pPr>
        <w:pStyle w:val="Heading3"/>
      </w:pPr>
      <w:r>
        <w:t xml:space="preserve">Results table 4. Meta-analysis summary for differences in median time-to-starting-chemotherapy in patients who received chemotherapy by sex, age group and cancer site.</w:t>
      </w:r>
    </w:p>
    <w:p>
      <w:pPr>
        <w:pStyle w:val="FirstParagraph"/>
      </w:pPr>
      <w:r>
        <w:t xml:space="preserve">Results are mutually adjusted for all variables shown (sex, age group, cancer site) and diagnosis year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Difference in median days-to-treatment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95% prediction interval 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Tau</w:t>
            </w:r>
            <w:r>
              <w:rPr>
                <w:rFonts w:ascii="Arial" w:hAnsi="Arial"/>
                <w:sz w:val="8"/>
              </w:rPr>
              <w:t xml:space="preserve">, natural scale (days)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Arial" w:hAnsi="Arial"/>
                <w:sz w:val="8"/>
              </w:rPr>
              <w:t xml:space="preserve">I</w:t>
            </w:r>
            <w:r>
              <w:rPr>
                <w:i/>
                <w:rFonts w:ascii="Arial" w:hAnsi="Arial"/>
                <w:sz w:val="8"/>
              </w:rPr>
              <w:t xml:space="preserve">2</w:t>
            </w:r>
            <w:r>
              <w:rPr>
                <w:rFonts w:ascii="Arial" w:hAnsi="Arial"/>
                <w:sz w:val="8"/>
              </w:rPr>
              <w:t xml:space="preserve"> ***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Observed jurisdictional range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Women vs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(-0.9,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-1.2-0.4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-1.5-5.5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15-64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(-2.8, -1.6)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-3.9--0.6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-3.7-0.5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75-84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-0.7-0.4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-3.5-6.0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85-99 vs 65-74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(-5.6,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-7.6-0.1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-9.5-36.5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Oesophageal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(7.0, 15.5)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-5.8-28.4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-1.0-33.1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Stomach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(3.6, 11.7)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-8.4-23.8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-6.0-19.0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Colon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(26.1, 37.1)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8.9-54.3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18.0-55.5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Rectal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(16.6, 53.5)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-42.1-112.3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2.0-122.1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Liver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(8.8, 19.5)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-5.0-33.3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-11.2-36.3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Pancreatic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-15.5-28.2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-10.0-25.5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Ovarian vs Lung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(-11.0,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-31.9-23.5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-24.0-14.5</w:t>
            </w:r>
          </w:p>
        </w:tc>
      </w:tr>
    </w:tbl>
    <w:p>
      <w:pPr>
        <w:pStyle w:val="BodyText"/>
      </w:pPr>
      <w:r>
        <w:t xml:space="preserve">*the prediction interval shows the range we would expect 95% of new jurisdictions to fall into, and incorporates both the uncertainty around the overall average and the spread of the included jurisdictions</w:t>
      </w:r>
    </w:p>
    <w:p>
      <w:pPr>
        <w:pStyle w:val="BodyText"/>
      </w:pPr>
      <w:r>
        <w:t xml:space="preserve">**Tau is the estimated standard deviation of the included jurisdictional estimates, directly measuring the spread of jurisdictions</w:t>
      </w:r>
    </w:p>
    <w:p>
      <w:pPr>
        <w:pStyle w:val="BodyText"/>
      </w:pPr>
      <w:r>
        <w:t xml:space="preserve">*** I</w:t>
      </w:r>
      <w:r>
        <w:rPr>
          <w:vertAlign w:val="superscript"/>
        </w:rPr>
        <w:t xml:space="preserve">2</w:t>
      </w:r>
      <w:r>
        <w:t xml:space="preserve"> </w:t>
      </w:r>
      <w:r>
        <w:t xml:space="preserve">measures the proportion of total variation not due to sampling variation</w:t>
      </w:r>
    </w:p>
    <w:p>
      <w:r>
        <w:br w:type="page"/>
      </w:r>
    </w:p>
    <w:bookmarkEnd w:id="23"/>
    <w:bookmarkStart w:id="35" w:name="X9f82dd656347d3a58ab1f6b2119b0563a112481"/>
    <w:p>
      <w:pPr>
        <w:pStyle w:val="Heading3"/>
      </w:pPr>
      <w:r>
        <w:t xml:space="preserve">Results figure 1. Overall crude proportion of patients treated by chemotherapy in each jurisdiction, by cancer site.</w:t>
      </w:r>
    </w:p>
    <w:p>
      <w:pPr>
        <w:pStyle w:val="FirstParagraph"/>
      </w:pPr>
      <w:r>
        <w:t xml:space="preserve">When estimating treatment proportion for stage 3 colon cancer in New South Wales,</w:t>
      </w:r>
      <w:r>
        <w:t xml:space="preserve"> </w:t>
      </w:r>
      <w:r>
        <w:t xml:space="preserve">‘</w:t>
      </w:r>
      <w:r>
        <w:t xml:space="preserve">Regional spread (lymph nodes)</w:t>
      </w:r>
      <w:r>
        <w:t xml:space="preserve">’</w:t>
      </w:r>
      <w:r>
        <w:t xml:space="preserve"> </w:t>
      </w:r>
      <w:r>
        <w:t xml:space="preserve">was viewed as corresponding to TNM 3. Estimates for Norway are not shown as</w:t>
      </w:r>
      <w:r>
        <w:t xml:space="preserve"> </w:t>
      </w:r>
      <w:r>
        <w:t xml:space="preserve">‘</w:t>
      </w:r>
      <w:r>
        <w:t xml:space="preserve">Regional</w:t>
      </w:r>
      <w:r>
        <w:t xml:space="preserve">’</w:t>
      </w:r>
      <w:r>
        <w:t xml:space="preserve"> </w:t>
      </w:r>
      <w:r>
        <w:t xml:space="preserve">could correspond to either TNM 2 or TNM 3.</w:t>
      </w:r>
    </w:p>
    <w:p>
      <w:pPr>
        <w:pStyle w:val="BodyText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8096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sults/chemo_overall_props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30" w:name="X1c0a9145f852b7134733a228bcb8c97a90fb48d"/>
    <w:p>
      <w:pPr>
        <w:pStyle w:val="Heading4"/>
      </w:pPr>
      <w:r>
        <w:t xml:space="preserve">Results figure 1 - appendix version 1. Overall crude proportion of patients treated by chemotherapy for each cancer site, by jurisdiction.</w:t>
      </w:r>
    </w:p>
    <w:p>
      <w:pPr>
        <w:pStyle w:val="FirstParagraph"/>
      </w:pPr>
      <w:r>
        <w:t xml:space="preserve">When estimating treatment proportion for stage 3 colon cancer in New South Wales,</w:t>
      </w:r>
      <w:r>
        <w:t xml:space="preserve"> </w:t>
      </w:r>
      <w:r>
        <w:t xml:space="preserve">‘</w:t>
      </w:r>
      <w:r>
        <w:t xml:space="preserve">Regional spread (lymph nodes)</w:t>
      </w:r>
      <w:r>
        <w:t xml:space="preserve">’</w:t>
      </w:r>
      <w:r>
        <w:t xml:space="preserve"> </w:t>
      </w:r>
      <w:r>
        <w:t xml:space="preserve">was viewed as corresponding to TNM 3. Estimates for Norway are not shown as</w:t>
      </w:r>
      <w:r>
        <w:t xml:space="preserve"> </w:t>
      </w:r>
      <w:r>
        <w:t xml:space="preserve">‘</w:t>
      </w:r>
      <w:r>
        <w:t xml:space="preserve">Regional</w:t>
      </w:r>
      <w:r>
        <w:t xml:space="preserve">’</w:t>
      </w:r>
      <w:r>
        <w:t xml:space="preserve"> </w:t>
      </w:r>
      <w:r>
        <w:t xml:space="preserve">could correspond to either TNM 2 or TNM 3.</w:t>
      </w:r>
    </w:p>
    <w:p>
      <w:pPr>
        <w:pStyle w:val="BodyText"/>
      </w:pPr>
      <w:r>
        <w:t xml:space="preserve">Black circles show jurisdictional proportions, and black lines the associated confidence interval.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t xml:space="preserve">Estimates not included in producing meta-analysis estimates are shown as hollow light grey circles.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sults/chemo_overall_props_alternative1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0"/>
    <w:bookmarkStart w:id="34" w:name="X7bd0985aac132808f00c23f745e83e006d54633"/>
    <w:p>
      <w:pPr>
        <w:pStyle w:val="Heading4"/>
      </w:pPr>
      <w:r>
        <w:t xml:space="preserve">Results figure 1 - appendix version 2. Proportions of patients treated by chemotherapy in the first year post-diagnosis (y axis) plotted as a continuous line by cancer site (x-axis).</w:t>
      </w:r>
    </w:p>
    <w:p>
      <w:pPr>
        <w:pStyle w:val="FirstParagraph"/>
      </w:pPr>
      <w:r>
        <w:t xml:space="preserve">When estimating treatment proportion for stage 3 colon cancer in New South Wales,</w:t>
      </w:r>
      <w:r>
        <w:t xml:space="preserve"> </w:t>
      </w:r>
      <w:r>
        <w:t xml:space="preserve">‘</w:t>
      </w:r>
      <w:r>
        <w:t xml:space="preserve">Regional spread (lymph nodes)</w:t>
      </w:r>
      <w:r>
        <w:t xml:space="preserve">’</w:t>
      </w:r>
      <w:r>
        <w:t xml:space="preserve"> </w:t>
      </w:r>
      <w:r>
        <w:t xml:space="preserve">was viewed as corresponding to TNM 3. Estimates for Norway are not shown as</w:t>
      </w:r>
      <w:r>
        <w:t xml:space="preserve"> </w:t>
      </w:r>
      <w:r>
        <w:t xml:space="preserve">‘</w:t>
      </w:r>
      <w:r>
        <w:t xml:space="preserve">Regional</w:t>
      </w:r>
      <w:r>
        <w:t xml:space="preserve">’</w:t>
      </w:r>
      <w:r>
        <w:t xml:space="preserve"> </w:t>
      </w:r>
      <w:r>
        <w:t xml:space="preserve">could correspond to either TNM 2 or TNM 3.</w:t>
      </w:r>
    </w:p>
    <w:p>
      <w:pPr>
        <w:pStyle w:val="BodyText"/>
      </w:pPr>
      <w:r>
        <w:t xml:space="preserve">In each figure panel, the jurisdiction-specific estimate is shown in bold black line, whereas all other jurisdiction lines are shown in grey. Cancer sites on the x-axis appear in order of increasing chemotherapy use across the total analysis sample comprising all jurisdictions.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sults/chemo_overall_props_alternative2_lines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4"/>
    <w:bookmarkEnd w:id="35"/>
    <w:bookmarkStart w:id="39" w:name="X94283e3f2491f1d4caaf8c416a482ec6f8d3707"/>
    <w:p>
      <w:pPr>
        <w:pStyle w:val="Heading3"/>
      </w:pPr>
      <w:r>
        <w:t xml:space="preserve">Results figure 2. Variation in use of chemotherapy by sex and age group, by jurisdiction (black dots).</w:t>
      </w:r>
    </w:p>
    <w:p>
      <w:pPr>
        <w:pStyle w:val="FirstParagraph"/>
      </w:pPr>
      <w:r>
        <w:t xml:space="preserve">Results are mutually adjusted for all variables shown (sex, age group, cancer site).</w:t>
      </w:r>
      <w:r>
        <w:t xml:space="preserve"> </w:t>
      </w:r>
      <w:r>
        <w:t xml:space="preserve">Black circles show jurisdictional odds ratios, and black lines the associated confidence interval.</w:t>
      </w:r>
    </w:p>
    <w:p>
      <w:pPr>
        <w:pStyle w:val="BodyText"/>
      </w:pPr>
      <w:r>
        <w:t xml:space="preserve">White circle estimates are adjusted for stage at diagnosis are only shown for jurisdictions with &gt;70% completeness of information on stage at diagnosis for each of the 8 cancer sites. These adjust for stage categories used by the jurisdiction including a missing stage indicator (TNM 1, 2, 3, 4, and missing, except for New South Wales where the categories were Localised, Regional (adjacent organs), Regional (lymph nodes), Distant, and missing).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sults/chemo_odds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7" w:name="X9cad403b581972ac1d0e7ab123a1619de1a1048"/>
    <w:p>
      <w:pPr>
        <w:pStyle w:val="Heading3"/>
      </w:pPr>
      <w:r>
        <w:t xml:space="preserve">Results figure 3. Median time-to-first chemotherapy course and inter-quartile range for each jurisdiction, by cancer site.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sults/chemo_time1_overall.svg" id="4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46" w:name="X39267e49532f18a94ebe3ce7b073ab147323fe8"/>
    <w:p>
      <w:pPr>
        <w:pStyle w:val="Heading4"/>
      </w:pPr>
      <w:r>
        <w:t xml:space="preserve">Results figure 3 - appendix version. Median time-to-first chemotherapy course and inter-quartile range for each cancer site, by jurisdiction.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medians and black lines show inter-quartile ranges.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6767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sults/chemo_time1_overall_alternative1.svg" id="4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6"/>
    <w:bookmarkEnd w:id="47"/>
    <w:bookmarkStart w:id="51" w:name="Xc1895ec73232dfe9d6680a625317f09e466fb61"/>
    <w:p>
      <w:pPr>
        <w:pStyle w:val="Heading3"/>
      </w:pPr>
      <w:r>
        <w:t xml:space="preserve">Results figure 4. Estimated differences in median-time-to-treatment by sex and age, from quantile regression.</w:t>
      </w:r>
    </w:p>
    <w:p>
      <w:pPr>
        <w:pStyle w:val="FirstParagraph"/>
      </w:pPr>
      <w:r>
        <w:t xml:space="preserve">Highly uncertain estimates have been suppressed from the plot but were included in meta-analysis.</w:t>
      </w:r>
    </w:p>
    <w:p>
      <w:pPr>
        <w:pStyle w:val="BodyText"/>
      </w:pPr>
      <w:r>
        <w:t xml:space="preserve">Black circles show median differences and black lines show 95% confidence intervals.</w:t>
      </w:r>
    </w:p>
    <w:p>
      <w:pPr>
        <w:pStyle w:val="BodyText"/>
      </w:pPr>
      <w:r>
        <w:t xml:space="preserve">Grey diamonds show the meta-analysis estimate and its confidence intervals. Wider grey lines show the associated prediction interval.</w:t>
      </w:r>
    </w:p>
    <w:p>
      <w:pPr>
        <w:pStyle w:val="BodyText"/>
      </w:pPr>
      <w:r>
        <w:drawing>
          <wp:inline>
            <wp:extent cx="5391150" cy="404812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sults/chemo_time2_differences.svg" id="5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1"/>
    <w:bookmarkStart w:id="55" w:name="X8954899b8c0bef0237582c5068fc4e29a58d046"/>
    <w:p>
      <w:pPr>
        <w:pStyle w:val="Heading3"/>
      </w:pPr>
      <w:r>
        <w:t xml:space="preserve">Results figure 5 / appendix. Meta-analysis estimates of average use vs meta-analysis estimates of median time-to-treatment.</w:t>
      </w:r>
    </w:p>
    <w:p>
      <w:pPr>
        <w:pStyle w:val="FirstParagraph"/>
      </w:pPr>
      <w:r>
        <w:t xml:space="preserve">No clear association between time-to-treatment and use.</w:t>
      </w:r>
    </w:p>
    <w:p>
      <w:pPr>
        <w:pStyle w:val="BodyText"/>
      </w:pPr>
      <w:r>
        <w:drawing>
          <wp:inline>
            <wp:extent cx="5391150" cy="53911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sults/chemo_correlation.svg" id="5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5"/>
    <w:bookmarkStart w:id="65" w:name="data-appendices"/>
    <w:p>
      <w:pPr>
        <w:pStyle w:val="Heading2"/>
      </w:pPr>
      <w:r>
        <w:t xml:space="preserve">Data appendices</w:t>
      </w:r>
    </w:p>
    <w:bookmarkStart w:id="56" w:name="X8c52001bc3bdee6715d686e52f1d58a530d50f3"/>
    <w:p>
      <w:pPr>
        <w:pStyle w:val="Heading3"/>
      </w:pPr>
      <w:r>
        <w:t xml:space="preserve">Data appendix 1. Overall proportions treated in each jurisdiciton.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chemotherapy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26,139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(34.4%,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(34.0%, 34.9%)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(43.5%, 44.2%)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(19.8%,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53,198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43.8%)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15,417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(39.9%, 40.8%)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(50.4%, 56.3%)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27,274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(38.3%,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(39.7%,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(43.4%, 48.6%)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53.5%)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53.0%)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(52.2%,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51.7%)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(49.4%, 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(52.0%, 56.9%)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(44.9%, 49.4%)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34.5%)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41.8%)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(44.5%, 46.9%)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(48.4%, 51.9%)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(48.3%, 52.1%)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(27.5%,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38.8%)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(29.5%,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(14.0%, 17.1%)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(30.9%, 32.5%)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Colon, stage III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(52.9%, 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(52.2%, 58.7%)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(51.8%,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(63.6%, 68.3%)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(63.2%, 66.8%)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(69.5%, 71.7%)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(63.2%, 70.6%)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(57.2%, 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35.2%)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(45.9%,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(69.7%, 72.6%)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(60.0%, 63.6%)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(38.3%,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(38.8%,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49.6%)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(44.9%, 48.0%)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(52.2%, 54.4%)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(48.9%,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(45.5%, 48.5%)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(17.4%,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16.0%)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(13.4%, 16.3%)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(23.2%,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(24.1%,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(5.4%, 12.0%)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(14.0%, 21.5%)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(6.4%, 14.5%)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(4.5%, 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22.6%)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(42.2%, 45.7%)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31.2%)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(50.8%, 53.3%)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(24.1%,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(32.2%, 38.7%)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(23.4%,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(46.6%,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(44.7%, 48.2%)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38,410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(23.5%,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35,092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(41.4%, 42.4%)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(27.5%, 34.8%)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(19.4%, 22.8%)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40.5%)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(70.4%, 74.2%)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(58.6%, 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(54.2%, 60.9%)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(59.7%, 63.8%)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(46.2%,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(67.7%, 72.9%)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(62.9%, 67.2%)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(67.2%, 69.8%)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40.6%)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(71.1%, 79.1%)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45.2%)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(62.6%, 72.0%)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(71.3%, 75.0%)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(71.4%, 75.6%)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15-64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(55.9%, 57.8%)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50,494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(51.0%,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(50.8%, 52.6%)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(49.3%,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(55.2%, 56.3%)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(51.2%,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(57.6%, 59.1%)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(55.3%, 57.1%)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45,416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(39.9%,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(34.5%,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(36.1%,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(38.8%,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(36.7%,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(36.3%,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(30.7%, 33.8%)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16,085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(49.1%, 50.7%)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(46.1%, 48.0%)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75-84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110,521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19.9%)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(12.4%, 14.4%)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(13.5%, 14.7%)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(21.0%, 22.6%)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(31.1%, 32.3%)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(14.8%,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(16.2%, 19.2%)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(13.1%, 20.9%)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(7.9%, 10.9%)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(11.8%, 14.5%)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(27.1%, 28.9%)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85-99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(2.6%, 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51,284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(2.4%, 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(1.0%, 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(1.2%, 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(2.2%, 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(3.4%, 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(4.7%, 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(13.3%, 14.8%)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(0.6%, 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(0.4%, 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(8.1%, 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(6.4%, 7.9%)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197,003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(27.9%,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23,041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(28.1%,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13,185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(32.3%,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(19.1%,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29,037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20,720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(39.7%, 41.1%)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(38.7%,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56,167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(27.6%,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12,122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11,908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(43.7%,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(32.5%,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(19.6%,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24,161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(39.6%, 41.0%)</w:t>
            </w:r>
          </w:p>
        </w:tc>
      </w:tr>
    </w:tbl>
    <w:p>
      <w:r>
        <w:br w:type="page"/>
      </w:r>
    </w:p>
    <w:bookmarkEnd w:id="56"/>
    <w:bookmarkStart w:id="57" w:name="X2208b01a41c8b6a02a2e9651c4328ebdebffcd3"/>
    <w:p>
      <w:pPr>
        <w:pStyle w:val="Heading3"/>
      </w:pPr>
      <w:r>
        <w:t xml:space="preserve">Data appendix 2. Odds ratio for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Odds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(0.89, 0.98)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(0.95, 0.98)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(0.89, 1.05)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(1.03, 1.13)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(0.96, 1.08)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(0.95, 1.06)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(0.97, 1.07)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(0.92, 0.97)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(0.90, 1.11)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(0.86, 1.05)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(0.76, 1.23)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(0.93, 1.22)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(0.85, 1.03)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(0.91, 0.98)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(0.87, 0.95)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(1.38, 1.54)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(1.49, 1.55)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(1.74, 2.07)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(1.78, 1.97)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(1.38, 1.57)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(1.48, 1.69)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(1.38, 1.53)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(1.27, 1.35)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(1.45, 1.84)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(1.44, 1.78)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(1.06, 1.83)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(1.26, 1.67)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(1.50, 1.85)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(1.34, 1.47)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(1.40, 1.55)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(0.29, 0.33)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(0.35, 0.37)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(0.36, 0.41)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(0.37, 0.44)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(0.40, 0.45)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(0.48, 0.52)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(0.38, 0.52)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(0.29, 0.37)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(0.25, 0.49)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(0.28, 0.43)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(0.27, 0.36)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(0.42, 0.46)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(0.41, 0.46)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(0.02, 0.04)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(0.02, 0.03)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(0.05, 0.08)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(0.07, 0.09)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(0.16, 0.18)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(0.04, 0.09)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(0.02, 0.05)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(0.03, 0.17)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(0.00, 0.05)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(0.01, 0.04)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(0.08, 0.10)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(0.07, 0.09)</w:t>
            </w:r>
          </w:p>
        </w:tc>
      </w:tr>
    </w:tbl>
    <w:p>
      <w:r>
        <w:br w:type="page"/>
      </w:r>
    </w:p>
    <w:bookmarkEnd w:id="57"/>
    <w:bookmarkStart w:id="58" w:name="X9e2b19016f2851c2dad7967f3fe624c7ba908ae"/>
    <w:p>
      <w:pPr>
        <w:pStyle w:val="Heading3"/>
      </w:pPr>
      <w:r>
        <w:t xml:space="preserve">Data appendix 3. Quantiles of time to treatment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25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Median (50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75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preserve">90</w:t>
            </w:r>
            {\super 
            <w:r>
              <w:rPr>
                <w:rFonts w:ascii="Arial" w:hAnsi="Arial"/>
                <w:sz w:val="8"/>
              </w:rPr>
              <w:t xml:space="preserve">th</w:t>
            </w:r>
            }
            <w:r>
              <w:rPr>
                <w:rFonts w:ascii="Arial" w:hAnsi="Arial"/>
                <w:sz w:val="8"/>
              </w:rPr>
              <w:t xml:space="preserve"> 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143.8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114.0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62.0</w:t>
            </w:r>
          </w:p>
        </w:tc>
      </w:tr>
    </w:tbl>
    <w:p>
      <w:r>
        <w:br w:type="page"/>
      </w:r>
    </w:p>
    <w:bookmarkEnd w:id="58"/>
    <w:bookmarkStart w:id="59" w:name="Xc2720c0944538d02b1d407df007c8066d5c5bf3"/>
    <w:p>
      <w:pPr>
        <w:pStyle w:val="Heading3"/>
      </w:pPr>
      <w:r>
        <w:t xml:space="preserve">Data appendix 4. Median difference in time to treatment by sex and age group in each jurisdiction.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Median difference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Women vs Men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(-1.7, -0.3)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-0.1)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(0.2, 10.8)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(-4.9, 12.3)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(-4.4,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6.2)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(-1.6, 0.6)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15-64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(-4.7, -2.3)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(-2.3, -1.7)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(-5.6, -1.4)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(-4.6, -0.4)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(-3.7, -0.3)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(-3.0,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(-6.1,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(-12.0, 5.5)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(-3.4,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(-6.7,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(-4.8, -2.5)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(-2.2,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75-84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(-2.1,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(-0.4,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(-4.0,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(-2.9,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(-2.3,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(-6.4,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(-0.3,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(-2.4,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(-5.1, 8.1)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(-0.5, 12.5)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(-15.2, 12.6)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(-7.9, 9.9)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(-2.8, 11.4)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(-2.5,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(-1.5, 2.1)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85-99 vs 65-74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(-8.1,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(-3.7, -0.3)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(-17.7,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(-14.8,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(-12.2, 12.2)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(-15.2, -3.8)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(-8.4,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(-11.0,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(-5.5, 78.4)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(-18.3, 22.3)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(-128.2, 145.4)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(1.6, 59.8)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(-69.4, 56.8)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(-5.9, 3.9)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-6.0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(-11.6, -0.4)</w:t>
            </w:r>
          </w:p>
        </w:tc>
      </w:tr>
    </w:tbl>
    <w:p>
      <w:r>
        <w:br w:type="page"/>
      </w:r>
    </w:p>
    <w:bookmarkEnd w:id="59"/>
    <w:bookmarkStart w:id="64" w:name="X265050069f3db9f89c0d04395f065e27be7d6d7"/>
    <w:p>
      <w:pPr>
        <w:pStyle w:val="Heading3"/>
      </w:pPr>
      <w:r>
        <w:t xml:space="preserve">Data appendix 5. Trends in chemotherapy use over time.</w:t>
      </w:r>
    </w:p>
    <w:bookmarkStart w:id="63" w:name="trend-in-overall-use-of-chemotherapy."/>
    <w:p>
      <w:pPr>
        <w:pStyle w:val="Heading4"/>
      </w:pPr>
      <w:r>
        <w:t xml:space="preserve">Trend in overall use of chemotherapy.</w:t>
      </w:r>
    </w:p>
    <w:p>
      <w:pPr>
        <w:pStyle w:val="FirstParagraph"/>
      </w:pPr>
      <w:r>
        <w:drawing>
          <wp:inline>
            <wp:extent cx="5391150" cy="467677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sults/chemo_overall_trend.svg" id="6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Jurisdiction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diagnosis_year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Patients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Received chemotherapy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Average treatment 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(95% confidence interval)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8 cancers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39.9%)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(37.8%,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9,271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31.0%)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92,609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(31.8%, 32.4%)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95,296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30,843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(32.1%,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(27.6%,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(28.3%,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30.2%)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(27.5%,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(29.7%,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(29.7%,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(34.9%,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(32.9%, 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(34.3%, 36.9%)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(33.4%,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(33.8%,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45.0%)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45.3%)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19,007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44.0%)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30.2%)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(30.8%,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(31.8%,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(32.2%,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(32.8%,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37.2%)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(30.3%,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32.8%)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34.6%)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(16.1%, 20.5%)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(15.8%, 20.0%)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(18.2%, 22.6%)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(40.7%,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(41.2%, 43.1%)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45.5%)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(43.5%,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(41.0%, 43.2%)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(37.4%,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40.1%)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Oesophageal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(45.1%, 57.3%)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(50.2%, 61.6%)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(50.6%, 62.3%)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(38.9%,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(43.2%,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56.1%)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57.1%)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57.9%)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(38.8%,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(35.8%,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41.4%)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(35.8%,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(42.2%,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(36.1%, 45.1%)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45.0%)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(37.3%, 52.2%)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(37.3%,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(41.4%,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48.0%)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57.2%)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49.1%)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51.0%)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49.0%)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(42.3%, 53.9%)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(44.6%,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(46.9%, 54.7%)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(48.7%, 56.9%)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(49.1%, 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(47.1%, 54.9%)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(28.3%,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(32.5%, 61.1%)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(33.7%, 60.6%)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(35.3%, 62.8%)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(33.9%, 63.8%)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43.0%)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(36.1%, 62.1%)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43.6%)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(64.6%, 98.5%)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84.8%)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(11.0%,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47.9%)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51.2%)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(32.1%, 67.9%)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65.3%)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(37.3%, 59.0%)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66.6%)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51.5%)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(33.9%,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(46.0%, 55.8%)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(49.7%, 58.9%)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(48.9%, 58.9%)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(49.4%, 60.0%)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(52.5%, 63.4%)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(45.6%, 56.6%)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(49.1%, 59.9%)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Stomach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(42.9%, 51.8%)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(43.7%, 52.5%)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(40.2%, 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(44.0%, 53.3%)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33.5%)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(33.0%,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(33.6%, 36.3%)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34.7%)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(27.6%,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33.9%)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(30.3%,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(31.6%,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(27.9%,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(29.4%, 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43.3%)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41.9%)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(34.0%, 46.1%)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(32.7%, 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(34.6%, 44.5%)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(33.3%, 42.5%)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(40.1%, 49.8%)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(42.6%, 48.2%)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(41.1%,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48.9%)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(44.5%, 49.8%)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(24.4%, 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(30.5%,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52.7%)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(21.0%, 38.9%)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44.3%)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58.1%)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57.9%)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(32.7%, 50.2%)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80.7%)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(18.1%, 56.7%)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(52.3%, 94.9%)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34.2%)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(10.0%,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(12.2%, 29.7%)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(19.9%, 40.5%)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(17.6%, 36.4%)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(19.5%, 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36.1%)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(22.8%, 41.7%)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(43.3%,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(47.5%,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(47.4%, 55.1%)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(46.8%, 54.7%)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(46.4%, 53.9%)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(48.6%, 57.3%)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(48.0%, 56.5%)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(46.1%, 54.5%)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Colon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(30.7%,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28.6%)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21,819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22,397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(24.3%,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29.6%)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(25.4%, 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(26.4%,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(28.7%, 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(25.0%, 29.4%)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(33.1%, 38.6%)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(28.8%,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(30.3%, 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(31.2%, 35.1%)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(29.8%,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(31.5%,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(37.5%, 40.3%)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39.2%)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(35.2%, 37.9%)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(16.9%,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(13.6%, 20.2%)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24.7%)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(17.8%, 25.6%)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35.2%)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(30.0%,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33.3%)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50.4%)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(26.7%, 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43.5%)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45.4%)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(11.2%, 18.0%)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(10.0%, 16.5%)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(11.5%, 18.3%)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(13.9%, 21.1%)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(20.1%, 27.5%)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(33.5%,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(32.7%,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(36.3%,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(35.0%,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(35.5%, 38.7%)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(31.7%,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35.3%)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(31.9%, 35.7%)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Rectal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(22.0%,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(20.2%, 25.1%)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26.1%)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(35.9%, 38.0%)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8,524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(37.7%, 39.8%)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41.1%)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(29.3%, 39.7%)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(25.1%,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40.7%)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(21.5%,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(35.8%, 42.2%)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(36.0%, 42.6%)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(39.0%, 45.3%)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(39.2%, 45.6%)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(34.2%,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(36.0%, 43.5%)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(36.2%,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(43.7%, 52.5%)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50.3%)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(44.1%, 52.7%)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51.6%)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(47.0%,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(44.6%, 51.4%)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(37.6%,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(51.3%, 56.2%)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(52.0%, 57.0%)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(52.4%, 57.3%)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(48.4%, 53.4%)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54.8%)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(14.2%, 25.8%)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(10.6%, 21.7%)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(24.0%, 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39.3%)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35.0%)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(43.0%, 56.5%)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(44.2%, 57.2%)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(47.6%, 60.1%)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(47.8%, 60.4%)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59.1%)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56.0%)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63.2%)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(24.5%, 59.3%)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59.2%)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(13.0%,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(9.1%, 22.9%)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(36.5%, 53.2%)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43.8%)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(32.4%, 46.3%)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35.9%)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(31.4%, 44.7%)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(45.3%,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50.5%)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(47.6%, 53.5%)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(50.0%, 55.9%)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(48.6%, 54.3%)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(51.7%, 58.3%)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(49.6%, 56.2%)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(45.7%, 52.5%)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40.8%)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Liver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(13.2%, 22.7%)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(12.9%, 22.0%)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(18.8%,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(14.6%, 16.8%)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(13.4%, 15.5%)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(14.3%, 16.4%)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(15.4%, 17.5%)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(4.9%, 16.5%)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(6.0%, 17.2%)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(2.3%, 10.5%)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(4.2%, 13.4%)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(3.0%, 11.9%)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(16.0%, 22.4%)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(14.4%, 20.4%)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(8.3%, 13.3%)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(10.0%, 15.4%)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(7.3%, 14.2%)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(4.1%,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(9.6%, 17.7%)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(19.0%, 29.8%)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(20.6%, 31.4%)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31.5%)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(21.3%, 31.5%)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31.7%)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(18.9%, 26.6%)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(22.2%,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(19.3%, 26.5%)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(23.7%,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(20.3%,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(22.5%,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31.6%)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(5.1%, 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(6.1%, 23.2%)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(14.1%, 32.2%)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35.4%)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(5.3%, 19.0%)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(9.5%, 24.4%)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(8.8%, 25.3%)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(7.4%,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(4.7%, 20.1%)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(-0.0%, 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(5.7%, 18.9%)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(29.0%,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37.8%)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(32.0%, 39.5%)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32.9%)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(30.4%, 37.5%)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(17.1%, 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(15.4%, 22.2%)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(14.9%, 21.5%)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Pancreatic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(38.6%, 45.8%)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(41.6%, 48.7%)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(38.1%,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51.3%)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27.6%)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(17.3%, 28.0%)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(23.9%, 34.9%)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(22.9%,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26.8%)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(21.3%,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(20.5%, 27.9%)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(20.8%, 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(28.5%,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(24.7%,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(25.2%, 33.8%)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(28.4%,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(27.4%, 36.0%)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(29.2%, 36.8%)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(29.1%, 36.2%)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(34.7%, 42.0%)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(30.6%, 37.7%)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(33.2%,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(49.0%,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(50.7%, 56.3%)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53.6%)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(49.7%, 54.9%)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(18.3%, 33.7%)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(19.4%, 32.7%)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(21.1%,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(18.5%, 33.4%)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(25.5%, 41.6%)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(23.2%, 37.3%)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(25.3%, 39.4%)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(36.8%, 51.2%)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41.2%)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(29.8%, 44.4%)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66.3%)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(12.0%, 44.9%)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(0.0%, 18.4%)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(21.9%, 61.3%)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(19.7%, 57.0%)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(12.2%, 34.0%)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(12.0%, 30.0%)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(16.4%, 39.6%)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(12.7%, 32.6%)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(22.4%, 47.8%)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(16.8%, 31.3%)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32.8%)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(22.1%, 37.0%)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(24.6%, 39.1%)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(42.8%, 49.5%)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(42.4%, 49.1%)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(44.4%, 50.9%)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(46.4%, 52.8%)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(47.7%, 54.0%)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(40.4%, 48.8%)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(39.1%,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(47.0%, 54.4%)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50.7%)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Lung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(43.4%, 47.2%)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(43.8%, 47.4%)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(43.5%, 47.1%)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32,950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28.2%)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29.1%)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34,678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9,859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(28.0%,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26.3%)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(21.8%, 26.7%)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(25.3%, 27.8%)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(23.0%, 25.5%)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(22.3%, 24.8%)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(20.9%, 23.3%)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(26.6%,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(28.3%, 32.0%)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2,363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(26.3%, 29.9%)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(26.9%,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(27.8%, 31.8%)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(27.0%, 31.1%)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(28.9%,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29.5%)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(25.8%, 29.0%)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(27.3%, 30.5%)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(27.7%, 31.0%)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(41.1%, 43.4%)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(41.5%, 43.9%)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(39.8%,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(41.4%, 43.7%)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7,345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(40.0%,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(26.2%, 33.2%)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(28.6%, 35.6%)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(26.0%, 33.0%)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30.7%)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(27.2%, 34.3%)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(24.1%, 30.4%)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(22.6%, 28.8%)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(21.6%, 27.4%)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(24.2%, 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(25.9%, 32.5%)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(20.7%, 36.7%)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(18.7%, 35.5%)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(26.1%, 41.5%)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(30.1%, 46.8%)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Prince Edward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(21.4%, 36.5%)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24.5%)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(18.1%, 25.7%)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(16.9%, 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(19.1%, 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(16.7%, 24.1%)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(22.7%, 28.7%)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(20.4%, 25.8%)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(23.1%, 28.9%)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(24.8%, 30.8%)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(39.8%, 43.2%)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(41.8%, 45.2%)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(43.1%, 46.4%)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(41.7%, 45.1%)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(35.4%, 39.8%)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(37.9%, 42.3%)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(38.0%, 42.1%)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(36.2%, 40.2%)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1,024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(39.8%, 43.7%)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Ovarian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(69.8%, 77.6%)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(65.2%, 73.0%)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(70.1%, 77.4%)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(68.4%, 76.0%)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2,807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(54.6%, 57.4%)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(58.9%, 61.6%)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(59.0%, 61.7%)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England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5,236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(59.2%, 61.9%)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(45.7%, 60.5%)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(51.0%, 65.7%)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(50.3%, 65.2%)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(53.5%, 68.5%)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Northern Ireland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(49.5%, 64.8%)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(54.2%, 62.4%)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(59.3%, 67.5%)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(61.0%, 69.0%)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Scotland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(55.9%, 64.5%)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53.0%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(48.2%, 57.7%)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(38.3%, 48.1%)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(43.6%, 53.7%)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(44.7%, 54.5%)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(63.6%, 75.7%)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78.1%)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(64.7%, 76.1%)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(63.8%, 75.3%)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Alberta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(62.5%, 74.1%)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(62.2%, 72.1%)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(56.6%, 66.3%)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(61.4%, 70.3%)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(62.6%, 71.8%)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British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(58.2%, 67.9%)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(66.4%, 72.3%)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(68.1%, 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(65.0%, 70.8%)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(63.5%, 69.4%)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Ontario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(64.7%, 70.6%)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(18.6%, 40.1%)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(19.2%, 38.2%)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(29.6%, 50.4%)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45.7%)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Saskatchewan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(37.1%, 60.2%)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(61.0%, 80.0%)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(68.4%, 85.5%)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(70.6%, 87.0%)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(65.3%, 83.6%)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Manitoba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(62.2%, 79.6%)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(21.2%, 46.6%)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(31.0%, 61.6%)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(28.2%, 53.9%)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(25.6%, 55.3%)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Newfoundland &amp; Labrador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(23.8%, 51.1%)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(58.8%, 78.7%)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(55.8%, 75.4%)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(44.1%, 66.8%)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(53.8%, 74.7%)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Nova Scotia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81.2%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(70.4%, 88.6%)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(71.1%, 79.1%)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(68.3%, 76.5%)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(66.5%, 74.8%)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(68.8%, 76.7%)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New South Wales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(70.2%, 78.2%)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69.0%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(63.8%, 73.7%)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(72.3%, 81.3%)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(70.7%, 79.7%)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(67.9%, 77.4%)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Arial" w:hAnsi="Arial"/>
                <w:sz w:val="8"/>
              </w:rPr>
              <w:t xml:space="default">Victoria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Arial" w:hAnsi="Arial"/>
                <w:sz w:val="8"/>
              </w:rPr>
              <w:t xml:space="default">(68.7%, 77.4%)</w:t>
            </w:r>
          </w:p>
        </w:tc>
      </w:tr>
    </w:tbl>
    <w:bookmarkEnd w:id="63"/>
    <w:bookmarkEnd w:id="64"/>
    <w:bookmarkEnd w:id="65"/>
    <w:sectPr w:rsidR="00B4725E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1F6036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4E8484A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D4E88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A1E701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AC66A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C9DF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188BA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C6D54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AADF1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C2A25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B1620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6669D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F6669D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sz w:val="24"/>
    </w:rPr>
  </w:style>
  <w:style w:styleId="Heading4" w:type="paragraph">
    <w:name w:val="heading 4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F6669D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F6669D"/>
    <w:pPr>
      <w:spacing w:after="36" w:before="36"/>
    </w:pPr>
    <w:rPr>
      <w:sz w:val="16"/>
    </w:rPr>
  </w:style>
  <w:style w:styleId="Title" w:type="paragraph">
    <w:name w:val="Title"/>
    <w:basedOn w:val="Normal"/>
    <w:next w:val="BodyText"/>
    <w:qFormat/>
    <w:rsid w:val="00F6669D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F6669D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27" Target="media/rId27.svg" /><Relationship Type="http://schemas.openxmlformats.org/officeDocument/2006/relationships/image" Id="rId31" Target="media/rId31.svg" /><Relationship Type="http://schemas.openxmlformats.org/officeDocument/2006/relationships/image" Id="rId60" Target="media/rId60.svg" /><Relationship Type="http://schemas.openxmlformats.org/officeDocument/2006/relationships/image" Id="rId40" Target="media/rId40.svg" /><Relationship Type="http://schemas.openxmlformats.org/officeDocument/2006/relationships/image" Id="rId43" Target="media/rId43.svg" /><Relationship Type="http://schemas.openxmlformats.org/officeDocument/2006/relationships/image" Id="rId48" Target="media/rId4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Chemotherapy results</dc:title>
  <dc:creator/>
  <cp:keywords/>
  <dcterms:created xsi:type="dcterms:W3CDTF">2023-11-08T14:22:05Z</dcterms:created>
  <dcterms:modified xsi:type="dcterms:W3CDTF">2023-11-08T14:22:05Z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