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0912" w:rsidRDefault="00620912" w:rsidP="00620912">
      <w:pPr>
        <w:pStyle w:val="PaperTitle"/>
      </w:pPr>
      <w:r>
        <w:t>PERFORMANCE OF A PASSIVE ACOUSIC LINEAR ARRAY IN A TIDAL CHANNEL</w:t>
      </w:r>
    </w:p>
    <w:p w:rsidR="00620912" w:rsidRDefault="00620912" w:rsidP="00620912">
      <w:pPr>
        <w:pStyle w:val="Author"/>
      </w:pPr>
      <w:r>
        <w:t xml:space="preserve">David </w:t>
      </w:r>
      <w:r w:rsidR="007C5B72">
        <w:t xml:space="preserve">R. </w:t>
      </w:r>
      <w:r>
        <w:t xml:space="preserve">Barclay </w:t>
      </w:r>
      <w:r w:rsidRPr="002772E1">
        <w:rPr>
          <w:szCs w:val="24"/>
          <w:vertAlign w:val="superscript"/>
        </w:rPr>
        <w:t>a</w:t>
      </w:r>
      <w:r>
        <w:t>,</w:t>
      </w:r>
      <w:r>
        <w:rPr>
          <w:vertAlign w:val="superscript"/>
        </w:rPr>
        <w:t xml:space="preserve"> </w:t>
      </w:r>
      <w:r>
        <w:t xml:space="preserve">  Matthew </w:t>
      </w:r>
      <w:r w:rsidR="007C5B72">
        <w:t xml:space="preserve">F. </w:t>
      </w:r>
      <w:r>
        <w:t xml:space="preserve">Auvinen </w:t>
      </w:r>
      <w:r>
        <w:rPr>
          <w:szCs w:val="24"/>
          <w:vertAlign w:val="superscript"/>
        </w:rPr>
        <w:t>a</w:t>
      </w:r>
    </w:p>
    <w:p w:rsidR="00620912" w:rsidRDefault="00620912" w:rsidP="00620912">
      <w:pPr>
        <w:pStyle w:val="Address"/>
        <w:pBdr>
          <w:bottom w:val="single" w:sz="24" w:space="3" w:color="FFFFFF"/>
        </w:pBdr>
        <w:jc w:val="left"/>
      </w:pPr>
      <w:r w:rsidRPr="002772E1">
        <w:rPr>
          <w:szCs w:val="24"/>
          <w:vertAlign w:val="superscript"/>
        </w:rPr>
        <w:t>a</w:t>
      </w:r>
      <w:r>
        <w:rPr>
          <w:szCs w:val="24"/>
          <w:vertAlign w:val="superscript"/>
        </w:rPr>
        <w:t xml:space="preserve"> </w:t>
      </w:r>
      <w:r w:rsidR="000F5392">
        <w:t>Department</w:t>
      </w:r>
      <w:r>
        <w:t xml:space="preserve"> of Oceanography, Dalhousie University, </w:t>
      </w:r>
      <w:r w:rsidRPr="00620912">
        <w:t>1355 Oxford Street</w:t>
      </w:r>
      <w:r>
        <w:t>, Halifax, NS B3H</w:t>
      </w:r>
      <w:r w:rsidRPr="00620912">
        <w:t>4R2</w:t>
      </w:r>
      <w:r>
        <w:t xml:space="preserve"> Canada</w:t>
      </w:r>
    </w:p>
    <w:p w:rsidR="00620912" w:rsidRDefault="00D37848" w:rsidP="00620912">
      <w:pPr>
        <w:pStyle w:val="Contactauthor"/>
        <w:pBdr>
          <w:bottom w:val="single" w:sz="24" w:space="3" w:color="FFFFFF"/>
        </w:pBdr>
      </w:pPr>
      <w:r>
        <w:t>David</w:t>
      </w:r>
      <w:r w:rsidR="00620912">
        <w:t xml:space="preserve"> Barclay </w:t>
      </w:r>
    </w:p>
    <w:p w:rsidR="00620912" w:rsidRDefault="00620912" w:rsidP="00620912">
      <w:pPr>
        <w:pStyle w:val="Contactauthor"/>
        <w:pBdr>
          <w:bottom w:val="single" w:sz="24" w:space="3" w:color="FFFFFF"/>
        </w:pBdr>
      </w:pPr>
      <w:r>
        <w:t xml:space="preserve">Dalhousie University </w:t>
      </w:r>
    </w:p>
    <w:p w:rsidR="00620912" w:rsidRDefault="00620912" w:rsidP="00620912">
      <w:pPr>
        <w:pStyle w:val="Contactauthor"/>
        <w:pBdr>
          <w:bottom w:val="single" w:sz="24" w:space="3" w:color="FFFFFF"/>
        </w:pBdr>
      </w:pPr>
      <w:r>
        <w:t xml:space="preserve">1355 Oxford Street </w:t>
      </w:r>
    </w:p>
    <w:p w:rsidR="00620912" w:rsidRDefault="00620912" w:rsidP="00620912">
      <w:pPr>
        <w:pStyle w:val="Contactauthor"/>
        <w:pBdr>
          <w:bottom w:val="single" w:sz="24" w:space="3" w:color="FFFFFF"/>
        </w:pBdr>
      </w:pPr>
      <w:r>
        <w:t>Halifax, NS B3H4R2 Canada</w:t>
      </w:r>
    </w:p>
    <w:p w:rsidR="00620912" w:rsidRDefault="00620912" w:rsidP="00620912">
      <w:pPr>
        <w:pStyle w:val="Contactauthor"/>
        <w:pBdr>
          <w:bottom w:val="single" w:sz="24" w:space="3" w:color="FFFFFF"/>
        </w:pBdr>
      </w:pPr>
      <w:r>
        <w:t>FAX: 902-</w:t>
      </w:r>
      <w:r w:rsidRPr="00620912">
        <w:t>494-3877</w:t>
      </w:r>
    </w:p>
    <w:p w:rsidR="00620912" w:rsidRDefault="00620912" w:rsidP="00620912">
      <w:pPr>
        <w:pStyle w:val="Abstract"/>
      </w:pPr>
      <w:r w:rsidRPr="002772E1">
        <w:rPr>
          <w:b/>
        </w:rPr>
        <w:t>Abstract</w:t>
      </w:r>
      <w:r>
        <w:rPr>
          <w:b/>
        </w:rPr>
        <w:t>:</w:t>
      </w:r>
      <w:r>
        <w:t xml:space="preserve"> </w:t>
      </w:r>
      <w:r w:rsidR="00A14D10" w:rsidRPr="00A14D10">
        <w:t>Baseline ambient sound level assessment is important in quantifying noise contributions from tidal energy infrastructure. Static acoustic sensing in high-flow conditions is complicated by pseudo-sound, or flow noise, generated by pressure fluctuations due to turbulent flow on the surface of a hydrophone. Signal processing methods are used to identify and suppress fl</w:t>
      </w:r>
      <w:r w:rsidR="00A14D10">
        <w:t>ow noise at low frequencies (&lt;</w:t>
      </w:r>
      <w:r w:rsidR="00A14D10" w:rsidRPr="00A14D10">
        <w:t xml:space="preserve"> 500 Hz) in data collected on a four element horizontal hydrophone array in the Minas Passage, a tidal channel in the Bay of Fundy, in October 2016. Spectral slope analysis is used to identify the spectral critical frequency, where the flow noise and ambient noise contributions to the recorded signal are equal. Spatial coherence analysis is to identify th</w:t>
      </w:r>
      <w:r w:rsidR="00A14D10">
        <w:t xml:space="preserve">e coherence critical frequency, </w:t>
      </w:r>
      <w:r w:rsidR="00A14D10" w:rsidRPr="00A14D10">
        <w:t xml:space="preserve">where the first </w:t>
      </w:r>
      <w:r w:rsidR="00A14D10">
        <w:t xml:space="preserve">instance of flow noise occurs. </w:t>
      </w:r>
      <w:r w:rsidR="00A14D10" w:rsidRPr="00A14D10">
        <w:t>The array's performance in the Minas passage is quantified by an empirical relationship between flow speed and the spectral critical frequencies of the coherent output from the liner array. Coherent averaging (broadside beamforming) is demonstrated as an effective flow noise suppression technique, improving low-frequency passive acoustic monitoring in a high energy tidal channel.</w:t>
      </w:r>
    </w:p>
    <w:p w:rsidR="00620912" w:rsidRDefault="00620912" w:rsidP="00F30304">
      <w:pPr>
        <w:pStyle w:val="Keywords"/>
        <w:numPr>
          <w:ilvl w:val="0"/>
          <w:numId w:val="0"/>
        </w:numPr>
      </w:pPr>
      <w:r w:rsidRPr="008276FB">
        <w:rPr>
          <w:b/>
        </w:rPr>
        <w:t>Keywords:</w:t>
      </w:r>
      <w:r>
        <w:t xml:space="preserve"> </w:t>
      </w:r>
      <w:r w:rsidR="00A14D10" w:rsidRPr="00A14D10">
        <w:t xml:space="preserve">Flow noise, ambient noise, acoustical array, tidal channel, </w:t>
      </w:r>
      <w:r w:rsidR="00A14D10">
        <w:t>and passive acoustic monitoring</w:t>
      </w:r>
    </w:p>
    <w:p w:rsidR="00620912" w:rsidRDefault="00620912" w:rsidP="00620912">
      <w:pPr>
        <w:pStyle w:val="SectionHeading"/>
        <w:numPr>
          <w:ilvl w:val="0"/>
          <w:numId w:val="2"/>
        </w:numPr>
      </w:pPr>
      <w:r>
        <w:br w:type="page"/>
      </w:r>
      <w:r w:rsidR="007970FA">
        <w:lastRenderedPageBreak/>
        <w:t>INTRODUCTION</w:t>
      </w:r>
      <w:r>
        <w:t xml:space="preserve"> </w:t>
      </w:r>
    </w:p>
    <w:p w:rsidR="00620912" w:rsidRPr="00A40636" w:rsidRDefault="00F30304" w:rsidP="002A7626">
      <w:pPr>
        <w:pStyle w:val="BodyText1"/>
      </w:pPr>
      <w:r>
        <w:t>Tidal</w:t>
      </w:r>
      <w:r w:rsidRPr="00F30304">
        <w:t xml:space="preserve"> power utilities are currently leasing seafloor space within the Minas Passage in the Bay of Fundy with aspirations of converting the energy of the region's tidal currents into electricity, a trend that has been supported by favourable projections of the Passage's tidal energy capacity </w:t>
      </w:r>
      <w:r w:rsidR="00D1699D">
        <w:t>[1]</w:t>
      </w:r>
      <w:r w:rsidRPr="00F30304">
        <w:t xml:space="preserve">. Stakeholders, regulators, and tidal power companies are interested in establishing baseline ambient noise measurements in the Minas Passage, against which turbine noise pollution will be measured. However, the utility of ambient sensing is limited by pseudo-sound, or flow noise, generated on the surface of </w:t>
      </w:r>
      <w:r w:rsidR="0060706F">
        <w:t>a hydrophone in turbulent water</w:t>
      </w:r>
      <w:r w:rsidRPr="00F30304">
        <w:t>.</w:t>
      </w:r>
      <w:r w:rsidR="006B3AE7">
        <w:t xml:space="preserve"> </w:t>
      </w:r>
      <w:r w:rsidR="002A7626">
        <w:t>Barclay and Buckingham [</w:t>
      </w:r>
      <w:r w:rsidR="002A7626">
        <w:t xml:space="preserve">2] describe the exploitation of </w:t>
      </w:r>
      <w:r w:rsidR="002A7626">
        <w:t>uncorrelated flow noise to identify pseudo-sound in deep ocean ambient noise measurements.</w:t>
      </w:r>
      <w:r w:rsidR="003452DB">
        <w:t xml:space="preserve"> </w:t>
      </w:r>
      <w:r w:rsidR="006B3AE7" w:rsidRPr="006B3AE7">
        <w:t>The objectives of the present research are:</w:t>
      </w:r>
      <w:r w:rsidR="006B3AE7">
        <w:t xml:space="preserve"> </w:t>
      </w:r>
      <w:r w:rsidR="00C82F7E">
        <w:t xml:space="preserve">(1) </w:t>
      </w:r>
      <w:r w:rsidR="006B3AE7" w:rsidRPr="006B3AE7">
        <w:t xml:space="preserve">Use spectral analysis and spatial coherence to identify and characterize </w:t>
      </w:r>
      <w:r w:rsidR="006B3AE7">
        <w:t>flow noise at low frequencies (&lt;</w:t>
      </w:r>
      <w:r w:rsidR="00C82F7E">
        <w:t xml:space="preserve"> 500 Hz) and (2) u</w:t>
      </w:r>
      <w:r w:rsidR="006B3AE7" w:rsidRPr="006B3AE7">
        <w:t>se coherent averaging (beamforming) to improve the performance of a linear hydrophone array by suppressing flow noise and enhancing the measurement of ambient noise.</w:t>
      </w:r>
    </w:p>
    <w:p w:rsidR="00620912" w:rsidRDefault="00926AA7" w:rsidP="00620912">
      <w:pPr>
        <w:pStyle w:val="SectionHeading"/>
        <w:numPr>
          <w:ilvl w:val="0"/>
          <w:numId w:val="2"/>
        </w:numPr>
      </w:pPr>
      <w:r>
        <w:t>FIELD WORK</w:t>
      </w:r>
    </w:p>
    <w:p w:rsidR="00352F50" w:rsidRDefault="00913115" w:rsidP="00B84210">
      <w:pPr>
        <w:pStyle w:val="BodyText1"/>
      </w:pPr>
      <w:r w:rsidRPr="00913115">
        <w:t>Field work was completed on October 27, 2016, near the Fundy Ocean Research Center for Energy (FORCE) site in the Minas Passage of the Bay of Fundy. The deployment period spanned roughly four hours, from 12:00 ADT to 16:00 ADT. This experimental window captured the transition from ebb tide to slack tide.</w:t>
      </w:r>
      <w:r w:rsidR="00352F50">
        <w:t xml:space="preserve"> </w:t>
      </w:r>
    </w:p>
    <w:p w:rsidR="00A9357B" w:rsidRDefault="00352F50" w:rsidP="00B84210">
      <w:pPr>
        <w:pStyle w:val="BodyText1"/>
      </w:pPr>
      <w:r>
        <w:t xml:space="preserve">A linear hydrophone array was streamed behind the </w:t>
      </w:r>
      <w:r w:rsidRPr="00352F50">
        <w:rPr>
          <w:i/>
        </w:rPr>
        <w:t xml:space="preserve">MV Nova </w:t>
      </w:r>
      <w:r w:rsidR="00A179BD" w:rsidRPr="00352F50">
        <w:rPr>
          <w:i/>
        </w:rPr>
        <w:t>Endeavour</w:t>
      </w:r>
      <w:r w:rsidR="00A179BD">
        <w:t>,</w:t>
      </w:r>
      <w:r>
        <w:t xml:space="preserve"> which was anchored to the seafloor in the Minas Passage. The array was positioned 15 meters below the sea surface using a depressor. Four hydrophones were simultaneously sampled over a four hour period and processed by an analog-to-digital converter (ADC) on board the </w:t>
      </w:r>
      <w:r w:rsidR="00D1259B" w:rsidRPr="00D1259B">
        <w:rPr>
          <w:i/>
        </w:rPr>
        <w:t>MV Nova Endeavour</w:t>
      </w:r>
      <w:r>
        <w:t xml:space="preserve">. </w:t>
      </w:r>
      <w:r w:rsidR="00A9357B" w:rsidRPr="00A9357B">
        <w:t>The linear array was constructed by GeoSpectrum Technologies, and contains four sequentially spaced hydrophones with a horizontal configuration. Each hydrophone pair is separated by a d</w:t>
      </w:r>
      <w:r w:rsidR="00A9357B">
        <w:t xml:space="preserve">istance </w:t>
      </w:r>
      <w:r w:rsidR="00A9357B" w:rsidRPr="00A9357B">
        <w:rPr>
          <w:i/>
        </w:rPr>
        <w:t>d</w:t>
      </w:r>
      <w:r w:rsidR="00A9357B" w:rsidRPr="00A9357B">
        <w:t xml:space="preserve"> = 17</w:t>
      </w:r>
      <w:r w:rsidR="00A9357B">
        <w:t xml:space="preserve"> </w:t>
      </w:r>
      <w:r w:rsidR="00A9357B" w:rsidRPr="00A9357B">
        <w:t>cm. The array hydrophones were set to simultaneously sample at a rate of 96.038 kHz with an acoustic bandwidth of 48.019 kHz.</w:t>
      </w:r>
    </w:p>
    <w:p w:rsidR="00352F50" w:rsidRDefault="00352F50" w:rsidP="00B84210">
      <w:pPr>
        <w:pStyle w:val="BodyText1"/>
      </w:pPr>
      <w:r>
        <w:t xml:space="preserve">A drifting hydrophone (Geospectrum Technologies GuardBuoy) was deployed using a small auxiliary vessel launched from the </w:t>
      </w:r>
      <w:r w:rsidR="008240D1" w:rsidRPr="008240D1">
        <w:rPr>
          <w:i/>
        </w:rPr>
        <w:t>MV Nova Endeavour</w:t>
      </w:r>
      <w:r>
        <w:t>. The GuardBuoy was suspended 2 meters below the surface using a drifting surface float and isolation system made of</w:t>
      </w:r>
      <w:r w:rsidR="001E542B">
        <w:t xml:space="preserve"> spectra and compliant bungee.</w:t>
      </w:r>
      <w:r w:rsidR="00F11D9B">
        <w:t xml:space="preserve"> </w:t>
      </w:r>
      <w:r w:rsidR="00F11D9B" w:rsidRPr="00F11D9B">
        <w:t>The GuardBuoy sampled at a rate of 96 kHz with an acoustic bandwidth of 48 kHz, and was equipped with a GPS to record transect geospatial information.</w:t>
      </w:r>
    </w:p>
    <w:p w:rsidR="00352F50" w:rsidRDefault="00352F50" w:rsidP="00352F50">
      <w:pPr>
        <w:pStyle w:val="BodyText1"/>
      </w:pPr>
      <w:r>
        <w:t xml:space="preserve">A total of five transects were performed by driving the GuardBuoy upstream, deploying the drifter, then floating downstream in a rigid-hulled inflatable boat (RHIB) alongside the GuardBuoy. The GuardBuoy and RHIB followed a transect that passed over the array and then an additional 20 meters. </w:t>
      </w:r>
    </w:p>
    <w:p w:rsidR="001E542B" w:rsidRDefault="00352F50" w:rsidP="001E542B">
      <w:pPr>
        <w:pStyle w:val="BodyText1"/>
      </w:pPr>
      <w:r>
        <w:t>The Guard Buoy signals are assumed to be flow noise free and were used as benchmarks to assess the performance of the array. The turbulent tidal channel is assumed to be well mixed with an isovelocity sound speed profile, minimizing noise field variability over the depth difference between the two systems.</w:t>
      </w:r>
    </w:p>
    <w:p w:rsidR="004052C7" w:rsidRDefault="004052C7" w:rsidP="001E542B">
      <w:pPr>
        <w:pStyle w:val="BodyText1"/>
      </w:pPr>
    </w:p>
    <w:p w:rsidR="001E542B" w:rsidRDefault="001E542B" w:rsidP="001E542B">
      <w:pPr>
        <w:pStyle w:val="SectionHeading"/>
        <w:numPr>
          <w:ilvl w:val="0"/>
          <w:numId w:val="2"/>
        </w:numPr>
      </w:pPr>
      <w:r>
        <w:lastRenderedPageBreak/>
        <w:t>DATA ANALYSIS</w:t>
      </w:r>
    </w:p>
    <w:p w:rsidR="001E542B" w:rsidRDefault="00225CE0" w:rsidP="001E542B">
      <w:pPr>
        <w:pStyle w:val="BodyText1"/>
      </w:pPr>
      <w:r>
        <w:t xml:space="preserve">The output of a hydrophone is defined as </w:t>
      </w:r>
    </w:p>
    <w:tbl>
      <w:tblPr>
        <w:tblW w:w="0" w:type="auto"/>
        <w:tblLayout w:type="fixed"/>
        <w:tblCellMar>
          <w:left w:w="70" w:type="dxa"/>
          <w:right w:w="70" w:type="dxa"/>
        </w:tblCellMar>
        <w:tblLook w:val="0000" w:firstRow="0" w:lastRow="0" w:firstColumn="0" w:lastColumn="0" w:noHBand="0" w:noVBand="0"/>
      </w:tblPr>
      <w:tblGrid>
        <w:gridCol w:w="8008"/>
        <w:gridCol w:w="1016"/>
      </w:tblGrid>
      <w:tr w:rsidR="00225CE0" w:rsidTr="00A33C58">
        <w:tc>
          <w:tcPr>
            <w:tcW w:w="8008" w:type="dxa"/>
          </w:tcPr>
          <w:p w:rsidR="00225CE0" w:rsidRDefault="006A42D0" w:rsidP="00A33C58">
            <w:pPr>
              <w:pStyle w:val="BodyText1"/>
            </w:pPr>
            <w:r w:rsidRPr="002C3EEB">
              <w:rPr>
                <w:position w:val="-12"/>
              </w:rPr>
              <w:object w:dxaOrig="19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25pt;height:18pt" o:ole="" fillcolor="window">
                  <v:imagedata r:id="rId5" o:title=""/>
                </v:shape>
                <o:OLEObject Type="Embed" ProgID="Equation.3" ShapeID="_x0000_i1025" DrawAspect="Content" ObjectID="_1560846941" r:id="rId6"/>
              </w:object>
            </w:r>
          </w:p>
        </w:tc>
        <w:tc>
          <w:tcPr>
            <w:tcW w:w="1016" w:type="dxa"/>
          </w:tcPr>
          <w:p w:rsidR="00225CE0" w:rsidRDefault="00225CE0" w:rsidP="00A33C58">
            <w:pPr>
              <w:pStyle w:val="BodyText1"/>
              <w:jc w:val="right"/>
            </w:pPr>
          </w:p>
          <w:p w:rsidR="00225CE0" w:rsidRDefault="00225CE0" w:rsidP="00A33C58">
            <w:pPr>
              <w:pStyle w:val="BodyText1"/>
              <w:jc w:val="right"/>
            </w:pPr>
            <w:r>
              <w:t>(1)</w:t>
            </w:r>
          </w:p>
        </w:tc>
      </w:tr>
    </w:tbl>
    <w:p w:rsidR="00225CE0" w:rsidRDefault="0021482B" w:rsidP="00823B6E">
      <w:pPr>
        <w:pStyle w:val="BodyText1"/>
        <w:ind w:firstLine="0"/>
      </w:pPr>
      <w:r>
        <w:t xml:space="preserve">where </w:t>
      </w:r>
      <w:r w:rsidR="00225CE0" w:rsidRPr="00225CE0">
        <w:rPr>
          <w:i/>
        </w:rPr>
        <w:t>x</w:t>
      </w:r>
      <w:r w:rsidR="00225CE0" w:rsidRPr="00225CE0">
        <w:rPr>
          <w:i/>
          <w:vertAlign w:val="subscript"/>
        </w:rPr>
        <w:t>i</w:t>
      </w:r>
      <w:r w:rsidR="00225CE0" w:rsidRPr="00225CE0">
        <w:rPr>
          <w:vertAlign w:val="subscript"/>
        </w:rPr>
        <w:t xml:space="preserve"> </w:t>
      </w:r>
      <w:r w:rsidR="00225CE0">
        <w:t xml:space="preserve">is the recorded time series on each </w:t>
      </w:r>
      <w:r w:rsidR="00225CE0" w:rsidRPr="00225CE0">
        <w:rPr>
          <w:i/>
        </w:rPr>
        <w:t>i</w:t>
      </w:r>
      <w:r w:rsidR="00225CE0">
        <w:t xml:space="preserve">th hydrophone, </w:t>
      </w:r>
      <w:r w:rsidR="006A42D0" w:rsidRPr="006A42D0">
        <w:t>σ</w:t>
      </w:r>
      <w:r w:rsidR="006A42D0">
        <w:rPr>
          <w:i/>
          <w:vertAlign w:val="subscript"/>
        </w:rPr>
        <w:t>i</w:t>
      </w:r>
      <w:r w:rsidR="006A42D0">
        <w:t xml:space="preserve"> </w:t>
      </w:r>
      <w:r w:rsidR="00225CE0" w:rsidRPr="006A42D0">
        <w:t>is</w:t>
      </w:r>
      <w:r w:rsidR="00225CE0">
        <w:t xml:space="preserve"> the sound field's ambient components, and </w:t>
      </w:r>
      <w:r w:rsidR="00225CE0" w:rsidRPr="00225CE0">
        <w:rPr>
          <w:i/>
        </w:rPr>
        <w:t>n</w:t>
      </w:r>
      <w:r w:rsidR="00225CE0" w:rsidRPr="00225CE0">
        <w:rPr>
          <w:i/>
          <w:vertAlign w:val="subscript"/>
        </w:rPr>
        <w:t>i</w:t>
      </w:r>
      <w:r w:rsidR="00225CE0">
        <w:t xml:space="preserve"> is the locally generated flow noise. Importantly, </w:t>
      </w:r>
      <w:r w:rsidR="00225CE0" w:rsidRPr="00225CE0">
        <w:rPr>
          <w:i/>
        </w:rPr>
        <w:t>n</w:t>
      </w:r>
      <w:r w:rsidR="00225CE0" w:rsidRPr="00225CE0">
        <w:rPr>
          <w:i/>
          <w:vertAlign w:val="subscript"/>
        </w:rPr>
        <w:t>i</w:t>
      </w:r>
      <w:r w:rsidR="00225CE0">
        <w:t xml:space="preserve"> and </w:t>
      </w:r>
      <w:r w:rsidR="00D80753" w:rsidRPr="006A42D0">
        <w:t>σ</w:t>
      </w:r>
      <w:r w:rsidR="00D80753">
        <w:rPr>
          <w:i/>
          <w:vertAlign w:val="subscript"/>
        </w:rPr>
        <w:t>i</w:t>
      </w:r>
      <w:r w:rsidR="00D80753">
        <w:t xml:space="preserve"> </w:t>
      </w:r>
      <w:r w:rsidR="00225CE0">
        <w:t xml:space="preserve">are uncorrelated. Furthermore, the inherent randomness of flow noise makes </w:t>
      </w:r>
      <w:r w:rsidR="00225CE0" w:rsidRPr="005865C3">
        <w:rPr>
          <w:i/>
        </w:rPr>
        <w:t>n</w:t>
      </w:r>
      <w:r w:rsidR="00225CE0" w:rsidRPr="005865C3">
        <w:rPr>
          <w:i/>
          <w:vertAlign w:val="subscript"/>
        </w:rPr>
        <w:t>i</w:t>
      </w:r>
      <w:r w:rsidR="00225CE0">
        <w:t xml:space="preserve"> incoherent </w:t>
      </w:r>
      <w:r w:rsidR="00DA1D35">
        <w:t xml:space="preserve">with respect to </w:t>
      </w:r>
      <w:r w:rsidR="00225CE0" w:rsidRPr="00DA1D35">
        <w:rPr>
          <w:i/>
        </w:rPr>
        <w:t>n</w:t>
      </w:r>
      <w:r w:rsidR="00225CE0" w:rsidRPr="00DA1D35">
        <w:rPr>
          <w:i/>
          <w:vertAlign w:val="subscript"/>
        </w:rPr>
        <w:t>j</w:t>
      </w:r>
      <w:r w:rsidR="00225CE0">
        <w:t xml:space="preserve">. </w:t>
      </w:r>
    </w:p>
    <w:p w:rsidR="005D65EE" w:rsidRDefault="005D65EE" w:rsidP="005D65EE">
      <w:pPr>
        <w:pStyle w:val="BodyText1"/>
      </w:pPr>
    </w:p>
    <w:p w:rsidR="005D65EE" w:rsidRDefault="005D65EE" w:rsidP="005D65EE">
      <w:pPr>
        <w:pStyle w:val="BodyText1"/>
      </w:pPr>
      <w:r>
        <w:t>The power spectrum, or spectral density, is defined as</w:t>
      </w:r>
    </w:p>
    <w:tbl>
      <w:tblPr>
        <w:tblW w:w="0" w:type="auto"/>
        <w:tblLayout w:type="fixed"/>
        <w:tblCellMar>
          <w:left w:w="70" w:type="dxa"/>
          <w:right w:w="70" w:type="dxa"/>
        </w:tblCellMar>
        <w:tblLook w:val="0000" w:firstRow="0" w:lastRow="0" w:firstColumn="0" w:lastColumn="0" w:noHBand="0" w:noVBand="0"/>
      </w:tblPr>
      <w:tblGrid>
        <w:gridCol w:w="8008"/>
        <w:gridCol w:w="1016"/>
      </w:tblGrid>
      <w:tr w:rsidR="005D65EE" w:rsidTr="00A33C58">
        <w:tc>
          <w:tcPr>
            <w:tcW w:w="8008" w:type="dxa"/>
          </w:tcPr>
          <w:p w:rsidR="005D65EE" w:rsidRDefault="005976C2" w:rsidP="00A33C58">
            <w:pPr>
              <w:pStyle w:val="BodyText1"/>
            </w:pPr>
            <w:r w:rsidRPr="002E6906">
              <w:rPr>
                <w:position w:val="-24"/>
              </w:rPr>
              <w:object w:dxaOrig="2500" w:dyaOrig="780">
                <v:shape id="_x0000_i1026" type="#_x0000_t75" style="width:125.25pt;height:39pt" o:ole="" fillcolor="window">
                  <v:imagedata r:id="rId7" o:title=""/>
                </v:shape>
                <o:OLEObject Type="Embed" ProgID="Equation.3" ShapeID="_x0000_i1026" DrawAspect="Content" ObjectID="_1560846942" r:id="rId8"/>
              </w:object>
            </w:r>
          </w:p>
        </w:tc>
        <w:tc>
          <w:tcPr>
            <w:tcW w:w="1016" w:type="dxa"/>
          </w:tcPr>
          <w:p w:rsidR="005D65EE" w:rsidRDefault="005D65EE" w:rsidP="00A33C58">
            <w:pPr>
              <w:pStyle w:val="BodyText1"/>
              <w:jc w:val="right"/>
            </w:pPr>
          </w:p>
          <w:p w:rsidR="005D65EE" w:rsidRDefault="005D65EE" w:rsidP="001E7C55">
            <w:pPr>
              <w:pStyle w:val="BodyText1"/>
              <w:jc w:val="right"/>
            </w:pPr>
            <w:r>
              <w:t>(</w:t>
            </w:r>
            <w:r w:rsidR="001E7C55">
              <w:t>2</w:t>
            </w:r>
            <w:r>
              <w:t>)</w:t>
            </w:r>
          </w:p>
        </w:tc>
      </w:tr>
    </w:tbl>
    <w:p w:rsidR="005C54EC" w:rsidRDefault="005C54EC" w:rsidP="005C54EC">
      <w:pPr>
        <w:pStyle w:val="BodyText1"/>
        <w:ind w:firstLine="0"/>
      </w:pPr>
      <w:r>
        <w:t xml:space="preserve">where </w:t>
      </w:r>
      <w:r w:rsidRPr="002E6906">
        <w:rPr>
          <w:i/>
        </w:rPr>
        <w:t>X</w:t>
      </w:r>
      <w:r w:rsidRPr="002E6906">
        <w:rPr>
          <w:i/>
          <w:vertAlign w:val="subscript"/>
        </w:rPr>
        <w:t>i</w:t>
      </w:r>
      <w:r>
        <w:t xml:space="preserve"> is the Fourier transform of </w:t>
      </w:r>
      <w:r w:rsidRPr="002E6906">
        <w:rPr>
          <w:i/>
        </w:rPr>
        <w:t>x</w:t>
      </w:r>
      <w:r w:rsidRPr="002E6906">
        <w:rPr>
          <w:i/>
          <w:vertAlign w:val="subscript"/>
        </w:rPr>
        <w:t>i</w:t>
      </w:r>
      <w:r w:rsidRPr="00823B6E">
        <w:t xml:space="preserve">, </w:t>
      </w:r>
      <w:r>
        <w:t xml:space="preserve">ω </w:t>
      </w:r>
      <w:r w:rsidRPr="00823B6E">
        <w:t xml:space="preserve">is angular frequency, </w:t>
      </w:r>
      <w:r>
        <w:t>*</w:t>
      </w:r>
      <w:r w:rsidRPr="00823B6E">
        <w:t xml:space="preserve"> denotes a complex conjugate, </w:t>
      </w:r>
      <w:r>
        <w:t xml:space="preserve">&lt; &gt; </w:t>
      </w:r>
      <w:r w:rsidRPr="00823B6E">
        <w:t>indi</w:t>
      </w:r>
      <w:r>
        <w:t xml:space="preserve">cates an ensemble average, and </w:t>
      </w:r>
      <w:r w:rsidRPr="00B75011">
        <w:rPr>
          <w:i/>
        </w:rPr>
        <w:t>T</w:t>
      </w:r>
      <w:r w:rsidRPr="00823B6E">
        <w:t xml:space="preserve"> is the observation interval. All Fourier transforms are windowed by a Hann func</w:t>
      </w:r>
      <w:r>
        <w:t xml:space="preserve">tion. The Fourier transform is </w:t>
      </w:r>
      <w:r w:rsidRPr="00823B6E">
        <w:t>2</w:t>
      </w:r>
      <w:r w:rsidRPr="00581E0C">
        <w:rPr>
          <w:vertAlign w:val="superscript"/>
        </w:rPr>
        <w:t>16</w:t>
      </w:r>
      <w:r>
        <w:t xml:space="preserve"> points long and contains 99</w:t>
      </w:r>
      <w:r w:rsidRPr="00823B6E">
        <w:t xml:space="preserve"> degrees of freedom</w:t>
      </w:r>
      <w:r>
        <w:t>.</w:t>
      </w:r>
    </w:p>
    <w:p w:rsidR="005C54EC" w:rsidRDefault="005C54EC" w:rsidP="005C54EC">
      <w:pPr>
        <w:pStyle w:val="BodyText1"/>
      </w:pPr>
      <w:r w:rsidRPr="001C2DA1">
        <w:t>Locally generated flow noise and the ambient sound field are inseparable, however we can describe their relative prevalence with the theoretical signal-noise ratio (SNR) where we are defining ambient sound as the signa</w:t>
      </w:r>
      <w:r>
        <w:t xml:space="preserve">l, and flow noise as the noise. By </w:t>
      </w:r>
      <w:r w:rsidRPr="001C2DA1">
        <w:t xml:space="preserve">taking the Fourier transform of </w:t>
      </w:r>
      <w:r>
        <w:t>(1)</w:t>
      </w:r>
      <w:r w:rsidRPr="001C2DA1">
        <w:t xml:space="preserve"> and substituting into </w:t>
      </w:r>
      <w:r>
        <w:t>(2),</w:t>
      </w:r>
      <w:r w:rsidRPr="001C2DA1">
        <w:t xml:space="preserve"> we find</w:t>
      </w:r>
      <w:r>
        <w:t xml:space="preserve"> the </w:t>
      </w:r>
      <w:r w:rsidRPr="00D1614B">
        <w:t>SNR</w:t>
      </w:r>
      <w:r w:rsidRPr="001C2DA1">
        <w:t xml:space="preserve"> </w:t>
      </w:r>
      <w:r>
        <w:t>for a single hydrophone (</w:t>
      </w:r>
      <w:r w:rsidRPr="00D1614B">
        <w:rPr>
          <w:i/>
        </w:rPr>
        <w:t>SNR</w:t>
      </w:r>
      <w:r w:rsidRPr="00D1614B">
        <w:rPr>
          <w:i/>
          <w:vertAlign w:val="subscript"/>
        </w:rPr>
        <w:t>H</w:t>
      </w:r>
      <w:r w:rsidRPr="001C2DA1">
        <w:t>)</w:t>
      </w:r>
      <w:r>
        <w:t>:</w:t>
      </w:r>
      <w:r w:rsidRPr="001C2DA1">
        <w:t xml:space="preserve"> </w:t>
      </w:r>
    </w:p>
    <w:p w:rsidR="00AF622F" w:rsidRDefault="00AF622F" w:rsidP="00410E2E">
      <w:pPr>
        <w:pStyle w:val="BodyText1"/>
        <w:ind w:firstLine="0"/>
      </w:pPr>
    </w:p>
    <w:tbl>
      <w:tblPr>
        <w:tblW w:w="0" w:type="auto"/>
        <w:tblLayout w:type="fixed"/>
        <w:tblCellMar>
          <w:left w:w="70" w:type="dxa"/>
          <w:right w:w="70" w:type="dxa"/>
        </w:tblCellMar>
        <w:tblLook w:val="0000" w:firstRow="0" w:lastRow="0" w:firstColumn="0" w:lastColumn="0" w:noHBand="0" w:noVBand="0"/>
      </w:tblPr>
      <w:tblGrid>
        <w:gridCol w:w="8008"/>
        <w:gridCol w:w="1016"/>
      </w:tblGrid>
      <w:tr w:rsidR="00CC02FC" w:rsidTr="00A33C58">
        <w:tc>
          <w:tcPr>
            <w:tcW w:w="8008" w:type="dxa"/>
          </w:tcPr>
          <w:p w:rsidR="00CC02FC" w:rsidRDefault="005535BE" w:rsidP="00A33C58">
            <w:pPr>
              <w:pStyle w:val="BodyText1"/>
            </w:pPr>
            <w:r w:rsidRPr="000154C5">
              <w:rPr>
                <w:position w:val="-38"/>
              </w:rPr>
              <w:object w:dxaOrig="1700" w:dyaOrig="920">
                <v:shape id="_x0000_i1027" type="#_x0000_t75" style="width:84.75pt;height:46.5pt" o:ole="" fillcolor="window">
                  <v:imagedata r:id="rId9" o:title=""/>
                </v:shape>
                <o:OLEObject Type="Embed" ProgID="Equation.3" ShapeID="_x0000_i1027" DrawAspect="Content" ObjectID="_1560846943" r:id="rId10"/>
              </w:object>
            </w:r>
            <w:r w:rsidR="00EC52DD">
              <w:t>.</w:t>
            </w:r>
          </w:p>
        </w:tc>
        <w:tc>
          <w:tcPr>
            <w:tcW w:w="1016" w:type="dxa"/>
          </w:tcPr>
          <w:p w:rsidR="00CC02FC" w:rsidRDefault="00CC02FC" w:rsidP="00A33C58">
            <w:pPr>
              <w:pStyle w:val="BodyText1"/>
              <w:jc w:val="right"/>
            </w:pPr>
          </w:p>
          <w:p w:rsidR="00CC02FC" w:rsidRDefault="00CC02FC" w:rsidP="00A81815">
            <w:pPr>
              <w:pStyle w:val="BodyText1"/>
              <w:jc w:val="right"/>
            </w:pPr>
            <w:r>
              <w:t>(</w:t>
            </w:r>
            <w:r w:rsidR="00A81815">
              <w:t>4</w:t>
            </w:r>
            <w:r>
              <w:t>)</w:t>
            </w:r>
          </w:p>
        </w:tc>
      </w:tr>
    </w:tbl>
    <w:p w:rsidR="00CC02FC" w:rsidRDefault="00EA259B" w:rsidP="005535BE">
      <w:pPr>
        <w:pStyle w:val="BodyText1"/>
        <w:ind w:firstLine="0"/>
      </w:pPr>
      <w:r w:rsidRPr="001C2DA1">
        <w:t>We use a broadside beamformer to coherently average</w:t>
      </w:r>
      <w:r w:rsidR="005535BE">
        <w:t xml:space="preserve"> the channels across the array such that the SNR for the coherent array</w:t>
      </w:r>
      <w:r w:rsidR="00D24D1B">
        <w:t xml:space="preserve"> (</w:t>
      </w:r>
      <w:r w:rsidR="00D24D1B">
        <w:rPr>
          <w:i/>
        </w:rPr>
        <w:t>SNR</w:t>
      </w:r>
      <w:r w:rsidR="00D24D1B">
        <w:rPr>
          <w:i/>
          <w:vertAlign w:val="subscript"/>
        </w:rPr>
        <w:t>A</w:t>
      </w:r>
      <w:r w:rsidR="00D24D1B" w:rsidRPr="00617481">
        <w:t>)</w:t>
      </w:r>
      <w:r w:rsidR="005535BE">
        <w:t xml:space="preserve"> is</w:t>
      </w:r>
    </w:p>
    <w:tbl>
      <w:tblPr>
        <w:tblW w:w="0" w:type="auto"/>
        <w:tblLayout w:type="fixed"/>
        <w:tblCellMar>
          <w:left w:w="70" w:type="dxa"/>
          <w:right w:w="70" w:type="dxa"/>
        </w:tblCellMar>
        <w:tblLook w:val="0000" w:firstRow="0" w:lastRow="0" w:firstColumn="0" w:lastColumn="0" w:noHBand="0" w:noVBand="0"/>
      </w:tblPr>
      <w:tblGrid>
        <w:gridCol w:w="8008"/>
        <w:gridCol w:w="1016"/>
      </w:tblGrid>
      <w:tr w:rsidR="007E466B" w:rsidTr="00A33C58">
        <w:tc>
          <w:tcPr>
            <w:tcW w:w="8008" w:type="dxa"/>
          </w:tcPr>
          <w:p w:rsidR="007E466B" w:rsidRDefault="00D24D1B" w:rsidP="00A33C58">
            <w:pPr>
              <w:pStyle w:val="BodyText1"/>
            </w:pPr>
            <w:r w:rsidRPr="005535BE">
              <w:rPr>
                <w:position w:val="-38"/>
              </w:rPr>
              <w:object w:dxaOrig="1740" w:dyaOrig="920">
                <v:shape id="_x0000_i1028" type="#_x0000_t75" style="width:87pt;height:46.5pt" o:ole="" fillcolor="window">
                  <v:imagedata r:id="rId11" o:title=""/>
                </v:shape>
                <o:OLEObject Type="Embed" ProgID="Equation.3" ShapeID="_x0000_i1028" DrawAspect="Content" ObjectID="_1560846944" r:id="rId12"/>
              </w:object>
            </w:r>
          </w:p>
        </w:tc>
        <w:tc>
          <w:tcPr>
            <w:tcW w:w="1016" w:type="dxa"/>
          </w:tcPr>
          <w:p w:rsidR="007E466B" w:rsidRDefault="007E466B" w:rsidP="00A33C58">
            <w:pPr>
              <w:pStyle w:val="BodyText1"/>
              <w:jc w:val="right"/>
            </w:pPr>
          </w:p>
          <w:p w:rsidR="007E466B" w:rsidRDefault="007E466B" w:rsidP="00A81815">
            <w:pPr>
              <w:pStyle w:val="BodyText1"/>
              <w:jc w:val="right"/>
            </w:pPr>
            <w:r>
              <w:t>(</w:t>
            </w:r>
            <w:r w:rsidR="00A81815">
              <w:t>5</w:t>
            </w:r>
            <w:r>
              <w:t>)</w:t>
            </w:r>
          </w:p>
        </w:tc>
      </w:tr>
    </w:tbl>
    <w:p w:rsidR="00574146" w:rsidRDefault="00D24D1B" w:rsidP="00244359">
      <w:pPr>
        <w:pStyle w:val="BodyText1"/>
        <w:ind w:firstLine="0"/>
      </w:pPr>
      <w:r>
        <w:t>where</w:t>
      </w:r>
    </w:p>
    <w:tbl>
      <w:tblPr>
        <w:tblW w:w="0" w:type="auto"/>
        <w:tblLayout w:type="fixed"/>
        <w:tblCellMar>
          <w:left w:w="70" w:type="dxa"/>
          <w:right w:w="70" w:type="dxa"/>
        </w:tblCellMar>
        <w:tblLook w:val="0000" w:firstRow="0" w:lastRow="0" w:firstColumn="0" w:lastColumn="0" w:noHBand="0" w:noVBand="0"/>
      </w:tblPr>
      <w:tblGrid>
        <w:gridCol w:w="8008"/>
        <w:gridCol w:w="1016"/>
      </w:tblGrid>
      <w:tr w:rsidR="00574146" w:rsidTr="00A33C58">
        <w:tc>
          <w:tcPr>
            <w:tcW w:w="8008" w:type="dxa"/>
          </w:tcPr>
          <w:p w:rsidR="00574146" w:rsidRDefault="00D46EEC" w:rsidP="00A33C58">
            <w:pPr>
              <w:pStyle w:val="BodyText1"/>
            </w:pPr>
            <w:r w:rsidRPr="00244359">
              <w:rPr>
                <w:position w:val="-28"/>
              </w:rPr>
              <w:object w:dxaOrig="2520" w:dyaOrig="680">
                <v:shape id="_x0000_i1029" type="#_x0000_t75" style="width:126pt;height:34.5pt" o:ole="" fillcolor="window">
                  <v:imagedata r:id="rId13" o:title=""/>
                </v:shape>
                <o:OLEObject Type="Embed" ProgID="Equation.3" ShapeID="_x0000_i1029" DrawAspect="Content" ObjectID="_1560846945" r:id="rId14"/>
              </w:object>
            </w:r>
          </w:p>
        </w:tc>
        <w:tc>
          <w:tcPr>
            <w:tcW w:w="1016" w:type="dxa"/>
          </w:tcPr>
          <w:p w:rsidR="00574146" w:rsidRDefault="00574146" w:rsidP="00A33C58">
            <w:pPr>
              <w:pStyle w:val="BodyText1"/>
              <w:jc w:val="right"/>
            </w:pPr>
          </w:p>
          <w:p w:rsidR="00574146" w:rsidRDefault="00574146" w:rsidP="00A33C58">
            <w:pPr>
              <w:pStyle w:val="BodyText1"/>
              <w:jc w:val="right"/>
            </w:pPr>
            <w:r>
              <w:t>(6)</w:t>
            </w:r>
          </w:p>
        </w:tc>
      </w:tr>
    </w:tbl>
    <w:p w:rsidR="00D46EEC" w:rsidRDefault="00D24D1B" w:rsidP="00574146">
      <w:pPr>
        <w:pStyle w:val="BodyText1"/>
        <w:ind w:firstLine="0"/>
      </w:pPr>
      <w:r>
        <w:lastRenderedPageBreak/>
        <w:t xml:space="preserve">and </w:t>
      </w:r>
    </w:p>
    <w:tbl>
      <w:tblPr>
        <w:tblW w:w="0" w:type="auto"/>
        <w:tblLayout w:type="fixed"/>
        <w:tblCellMar>
          <w:left w:w="70" w:type="dxa"/>
          <w:right w:w="70" w:type="dxa"/>
        </w:tblCellMar>
        <w:tblLook w:val="0000" w:firstRow="0" w:lastRow="0" w:firstColumn="0" w:lastColumn="0" w:noHBand="0" w:noVBand="0"/>
      </w:tblPr>
      <w:tblGrid>
        <w:gridCol w:w="8008"/>
        <w:gridCol w:w="1016"/>
      </w:tblGrid>
      <w:tr w:rsidR="00D46EEC" w:rsidTr="00A33C58">
        <w:tc>
          <w:tcPr>
            <w:tcW w:w="8008" w:type="dxa"/>
          </w:tcPr>
          <w:p w:rsidR="00D46EEC" w:rsidRDefault="008A6E55" w:rsidP="00A33C58">
            <w:pPr>
              <w:pStyle w:val="BodyText1"/>
            </w:pPr>
            <w:r w:rsidRPr="00D46EEC">
              <w:rPr>
                <w:position w:val="-24"/>
              </w:rPr>
              <w:object w:dxaOrig="1420" w:dyaOrig="620">
                <v:shape id="_x0000_i1030" type="#_x0000_t75" style="width:71.25pt;height:31.5pt" o:ole="" fillcolor="window">
                  <v:imagedata r:id="rId15" o:title=""/>
                </v:shape>
                <o:OLEObject Type="Embed" ProgID="Equation.3" ShapeID="_x0000_i1030" DrawAspect="Content" ObjectID="_1560846946" r:id="rId16"/>
              </w:object>
            </w:r>
          </w:p>
        </w:tc>
        <w:tc>
          <w:tcPr>
            <w:tcW w:w="1016" w:type="dxa"/>
          </w:tcPr>
          <w:p w:rsidR="00D46EEC" w:rsidRDefault="00D46EEC" w:rsidP="00A33C58">
            <w:pPr>
              <w:pStyle w:val="BodyText1"/>
              <w:jc w:val="right"/>
            </w:pPr>
          </w:p>
          <w:p w:rsidR="00D46EEC" w:rsidRDefault="00D46EEC" w:rsidP="008E2C80">
            <w:pPr>
              <w:pStyle w:val="BodyText1"/>
              <w:jc w:val="right"/>
            </w:pPr>
            <w:r>
              <w:t>(</w:t>
            </w:r>
            <w:r w:rsidR="008E2C80">
              <w:t>7</w:t>
            </w:r>
            <w:r>
              <w:t>)</w:t>
            </w:r>
          </w:p>
        </w:tc>
      </w:tr>
    </w:tbl>
    <w:p w:rsidR="00514DC9" w:rsidRDefault="00514DC9" w:rsidP="004F5C93">
      <w:pPr>
        <w:pStyle w:val="BodyText1"/>
      </w:pPr>
      <w:r>
        <w:t>Where</w:t>
      </w:r>
      <w:r>
        <w:rPr>
          <w:i/>
        </w:rPr>
        <w:t xml:space="preserve"> </w:t>
      </w:r>
      <w:r w:rsidRPr="00D24D1B">
        <w:rPr>
          <w:i/>
        </w:rPr>
        <w:t>l</w:t>
      </w:r>
      <w:r>
        <w:t xml:space="preserve"> is the number of elements across the array, </w:t>
      </w:r>
      <w:r>
        <w:rPr>
          <w:i/>
        </w:rPr>
        <w:t>d</w:t>
      </w:r>
      <w:r>
        <w:t xml:space="preserve"> is the nearest neighbour element separation, and </w:t>
      </w:r>
      <w:r>
        <w:rPr>
          <w:i/>
        </w:rPr>
        <w:t>c</w:t>
      </w:r>
      <w:r>
        <w:t xml:space="preserve"> is the sound speed. </w:t>
      </w:r>
      <w:r w:rsidRPr="004B3E03">
        <w:t xml:space="preserve">Comparing </w:t>
      </w:r>
      <w:r>
        <w:t>(5)</w:t>
      </w:r>
      <w:r w:rsidRPr="004B3E03">
        <w:t xml:space="preserve"> to the result derived for a single hydrophone, given by </w:t>
      </w:r>
      <w:r>
        <w:t>(4)</w:t>
      </w:r>
      <w:r w:rsidRPr="004B3E03">
        <w:t>, we see that the beamformed array improves the signal-to-noise ratio by a factor of</w:t>
      </w:r>
      <w:r>
        <w:rPr>
          <w:i/>
        </w:rPr>
        <w:t xml:space="preserve"> K/l</w:t>
      </w:r>
      <w:r>
        <w:t>. Furthermore, (5)</w:t>
      </w:r>
      <w:r w:rsidRPr="004B3E03">
        <w:t xml:space="preserve"> </w:t>
      </w:r>
      <w:r>
        <w:t>indicates</w:t>
      </w:r>
      <w:r w:rsidRPr="004B3E03">
        <w:t xml:space="preserve"> that array performance improves with an inc</w:t>
      </w:r>
      <w:r>
        <w:t xml:space="preserve">reasing number of hydrophones, </w:t>
      </w:r>
      <w:r w:rsidRPr="00765922">
        <w:rPr>
          <w:i/>
        </w:rPr>
        <w:t>l</w:t>
      </w:r>
      <w:r w:rsidRPr="004B3E03">
        <w:t xml:space="preserve">. For an array with 4 elements, at broadside, </w:t>
      </w:r>
      <w:r w:rsidRPr="00C90180">
        <w:rPr>
          <w:i/>
        </w:rPr>
        <w:t>K/l</w:t>
      </w:r>
      <w:r w:rsidRPr="004B3E03">
        <w:t xml:space="preserve"> = </w:t>
      </w:r>
      <w:r>
        <w:t>7/4.</w:t>
      </w:r>
    </w:p>
    <w:p w:rsidR="00B97AB8" w:rsidRDefault="00514DC9" w:rsidP="00514DC9">
      <w:pPr>
        <w:pStyle w:val="BodyText1"/>
      </w:pPr>
      <w:r w:rsidRPr="00B97AB8">
        <w:t xml:space="preserve">The broadside beamforming analysis applied to the linear array generates artificial spectral density gain. As a result, an array gain formula is applied to the beamformed results to correct the inflated values. The array gain formula presented here is adapted from Cox </w:t>
      </w:r>
      <w:r>
        <w:t>[</w:t>
      </w:r>
      <w:r w:rsidR="00AB67BD">
        <w:t>3</w:t>
      </w:r>
      <w:r>
        <w:t>]</w:t>
      </w:r>
      <w:r w:rsidRPr="00B97AB8">
        <w:t>, such that</w:t>
      </w:r>
    </w:p>
    <w:tbl>
      <w:tblPr>
        <w:tblW w:w="0" w:type="auto"/>
        <w:tblLayout w:type="fixed"/>
        <w:tblCellMar>
          <w:left w:w="70" w:type="dxa"/>
          <w:right w:w="70" w:type="dxa"/>
        </w:tblCellMar>
        <w:tblLook w:val="0000" w:firstRow="0" w:lastRow="0" w:firstColumn="0" w:lastColumn="0" w:noHBand="0" w:noVBand="0"/>
      </w:tblPr>
      <w:tblGrid>
        <w:gridCol w:w="8008"/>
        <w:gridCol w:w="1016"/>
      </w:tblGrid>
      <w:tr w:rsidR="00620912" w:rsidTr="00A33C58">
        <w:tc>
          <w:tcPr>
            <w:tcW w:w="8008" w:type="dxa"/>
          </w:tcPr>
          <w:p w:rsidR="00620912" w:rsidRDefault="00D45488" w:rsidP="00A33C58">
            <w:pPr>
              <w:pStyle w:val="BodyText1"/>
            </w:pPr>
            <w:r w:rsidRPr="006673BA">
              <w:rPr>
                <w:position w:val="-10"/>
              </w:rPr>
              <w:object w:dxaOrig="1359" w:dyaOrig="320">
                <v:shape id="_x0000_i1031" type="#_x0000_t75" style="width:68.25pt;height:16.5pt" o:ole="" fillcolor="window">
                  <v:imagedata r:id="rId17" o:title=""/>
                </v:shape>
                <o:OLEObject Type="Embed" ProgID="Equation.3" ShapeID="_x0000_i1031" DrawAspect="Content" ObjectID="_1560846947" r:id="rId18"/>
              </w:object>
            </w:r>
          </w:p>
        </w:tc>
        <w:tc>
          <w:tcPr>
            <w:tcW w:w="1016" w:type="dxa"/>
          </w:tcPr>
          <w:p w:rsidR="00620912" w:rsidRDefault="00620912" w:rsidP="00A33C58">
            <w:pPr>
              <w:pStyle w:val="BodyText1"/>
              <w:jc w:val="right"/>
            </w:pPr>
          </w:p>
          <w:p w:rsidR="00620912" w:rsidRDefault="00620912" w:rsidP="008E2C80">
            <w:pPr>
              <w:pStyle w:val="BodyText1"/>
              <w:jc w:val="right"/>
            </w:pPr>
            <w:r>
              <w:t>(</w:t>
            </w:r>
            <w:r w:rsidR="008E2C80">
              <w:t>8</w:t>
            </w:r>
            <w:r>
              <w:t>)</w:t>
            </w:r>
          </w:p>
        </w:tc>
      </w:tr>
    </w:tbl>
    <w:p w:rsidR="0025386F" w:rsidRDefault="0025386F" w:rsidP="004420CF">
      <w:pPr>
        <w:pStyle w:val="SectionHeading"/>
        <w:numPr>
          <w:ilvl w:val="0"/>
          <w:numId w:val="0"/>
        </w:numPr>
      </w:pPr>
    </w:p>
    <w:p w:rsidR="009A6781" w:rsidRDefault="009A6781" w:rsidP="009A6781">
      <w:pPr>
        <w:pStyle w:val="SectionHeading"/>
        <w:numPr>
          <w:ilvl w:val="0"/>
          <w:numId w:val="2"/>
        </w:numPr>
      </w:pPr>
      <w:r>
        <w:t>RESULTS</w:t>
      </w:r>
    </w:p>
    <w:p w:rsidR="004F5C93" w:rsidRDefault="004F5C93" w:rsidP="004F5C93">
      <w:pPr>
        <w:pStyle w:val="BodyText1"/>
        <w:rPr>
          <w:noProof/>
          <w:lang w:val="en-CA" w:eastAsia="en-CA"/>
        </w:rPr>
      </w:pPr>
      <w:r>
        <w:t>Signal levels (Fig. 1) are relatively high in fast flowing water and low in slow flowing water. The mid-to-high-frequency band is less affected by flow noise and is quiet relative to lower frequencies (&lt; 10 Hz). Evidently, flow noise is prevalent below 100 Hz.  The wind speed varied between 3.2 and 6.2 m/s with a mean of 5.0 m/s. The hydrophone power spectrum contains multiple episodes of mid-frequency noise. These signals are attributed to ship noise generated by the small vessel used in the GuardBuoy drifter tests. Additionally, the abrupt shift in spectral density at 90 minutes is due to equipment reconfigurations.</w:t>
      </w:r>
      <w:r w:rsidRPr="00AA6B28">
        <w:rPr>
          <w:noProof/>
          <w:lang w:val="en-CA" w:eastAsia="en-CA"/>
        </w:rPr>
        <w:t xml:space="preserve"> </w:t>
      </w:r>
    </w:p>
    <w:p w:rsidR="004F5C93" w:rsidRPr="00F061C8" w:rsidRDefault="004F5C93" w:rsidP="004F5C93">
      <w:pPr>
        <w:pStyle w:val="BodyText1"/>
        <w:rPr>
          <w:noProof/>
          <w:lang w:val="en-CA" w:eastAsia="en-CA"/>
        </w:rPr>
      </w:pPr>
      <w:r>
        <w:t>The PSPD</w:t>
      </w:r>
      <w:r w:rsidR="00181FD4">
        <w:t>, adapted from Merchant et al. [</w:t>
      </w:r>
      <w:r w:rsidR="00AB67BD">
        <w:t>4</w:t>
      </w:r>
      <w:r w:rsidR="00181FD4">
        <w:t>]</w:t>
      </w:r>
      <w:r w:rsidR="00B47948">
        <w:t>,</w:t>
      </w:r>
      <w:r>
        <w:t xml:space="preserve"> facilitates the broad-scale assessment of a hydrophone's spectral density over entire deployment periods. The PSPD for each hydrophone on the array are constructed by compiling histograms across the entire deployment period. </w:t>
      </w:r>
    </w:p>
    <w:p w:rsidR="004F5C93" w:rsidRDefault="004F5C93" w:rsidP="004F5C93">
      <w:pPr>
        <w:pStyle w:val="BodyText1"/>
      </w:pPr>
      <w:r>
        <w:t>The PSPD follows a spectral s</w:t>
      </w:r>
      <w:r w:rsidR="00AB67BD">
        <w:t xml:space="preserve">lope </w:t>
      </w:r>
      <w:proofErr w:type="spellStart"/>
      <w:r w:rsidR="00AB67BD">
        <w:t xml:space="preserve">of </w:t>
      </w:r>
      <w:r w:rsidRPr="00B822DF">
        <w:rPr>
          <w:i/>
        </w:rPr>
        <w:t>f</w:t>
      </w:r>
      <w:proofErr w:type="spellEnd"/>
      <w:r w:rsidRPr="00B822DF">
        <w:rPr>
          <w:vertAlign w:val="superscript"/>
        </w:rPr>
        <w:t>-</w:t>
      </w:r>
      <w:r w:rsidR="00AB67BD">
        <w:rPr>
          <w:vertAlign w:val="superscript"/>
        </w:rPr>
        <w:t>-</w:t>
      </w:r>
      <w:r w:rsidRPr="00B822DF">
        <w:rPr>
          <w:vertAlign w:val="superscript"/>
        </w:rPr>
        <w:t>5/3</w:t>
      </w:r>
      <w:r>
        <w:t xml:space="preserve"> below 10 Hz, behaviour analogous to Kolmogorov's turbulence theory. A steepened spectral slope of </w:t>
      </w:r>
      <w:r w:rsidRPr="00254A9F">
        <w:rPr>
          <w:i/>
        </w:rPr>
        <w:t>f</w:t>
      </w:r>
      <w:r w:rsidRPr="00254A9F">
        <w:rPr>
          <w:i/>
          <w:vertAlign w:val="superscript"/>
        </w:rPr>
        <w:t>-m</w:t>
      </w:r>
      <w:r>
        <w:t xml:space="preserve">, </w:t>
      </w:r>
      <w:r w:rsidR="00AB67BD">
        <w:t>previously identified by Bassett et al. [5] (</w:t>
      </w:r>
      <w:r>
        <w:t xml:space="preserve">where </w:t>
      </w:r>
      <w:r w:rsidRPr="00CD0501">
        <w:rPr>
          <w:i/>
        </w:rPr>
        <w:t>m</w:t>
      </w:r>
      <w:r>
        <w:rPr>
          <w:i/>
        </w:rPr>
        <w:t xml:space="preserve"> </w:t>
      </w:r>
      <w:r>
        <w:t>&gt; 5/3</w:t>
      </w:r>
      <w:r w:rsidR="00AB67BD">
        <w:t>)</w:t>
      </w:r>
      <w:r>
        <w:t xml:space="preserve">, persists between 10 and 100 Hz, a result of small-scale turbulence. The PSPD results show that ambient noise is dominant above 300 Hz, where signal levels are markedly low. An electronic system noise floor persisted at about 60 dB re µPa throughout the deployment. </w:t>
      </w:r>
    </w:p>
    <w:p w:rsidR="00D27215" w:rsidRDefault="00D27215" w:rsidP="004F5C93">
      <w:pPr>
        <w:pStyle w:val="BodyText1"/>
        <w:rPr>
          <w:i/>
        </w:rPr>
      </w:pPr>
      <w:r>
        <w:t xml:space="preserve">We define the spectral critical frequency as the frequency at which </w:t>
      </w:r>
      <w:r w:rsidR="00FF7999" w:rsidRPr="009A6781">
        <w:t>the flow noise and ambient noise contributions to the recorded signal are equal</w:t>
      </w:r>
      <w:r w:rsidR="00FF7999">
        <w:t xml:space="preserve"> in power. As such, the spectral critical frequency marks the transition from the flow noise region to the ambient noise region in Fig. 2. </w:t>
      </w:r>
      <w:r w:rsidR="00D43E8D">
        <w:t>Below the spectral critical frequency flow noise signal contamination is severe and above the spectral critical frequency the signal is composed of a mixture of both flow and ambient noise.</w:t>
      </w:r>
    </w:p>
    <w:p w:rsidR="004F5C93" w:rsidRPr="004F5C93" w:rsidRDefault="004F5C93" w:rsidP="004F5C93"/>
    <w:p w:rsidR="00AA6B28" w:rsidRDefault="00AA6B28" w:rsidP="00AA6B28">
      <w:pPr>
        <w:pStyle w:val="BodyText1"/>
        <w:jc w:val="center"/>
      </w:pPr>
      <w:r>
        <w:rPr>
          <w:noProof/>
          <w:lang w:val="en-CA" w:eastAsia="en-CA"/>
        </w:rPr>
        <w:lastRenderedPageBreak/>
        <w:drawing>
          <wp:inline distT="0" distB="0" distL="0" distR="0" wp14:anchorId="2B266137" wp14:editId="7A6C4DFF">
            <wp:extent cx="3357139" cy="2486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1.png"/>
                    <pic:cNvPicPr/>
                  </pic:nvPicPr>
                  <pic:blipFill rotWithShape="1">
                    <a:blip r:embed="rId19" cstate="print">
                      <a:extLst>
                        <a:ext uri="{28A0092B-C50C-407E-A947-70E740481C1C}">
                          <a14:useLocalDpi xmlns:a14="http://schemas.microsoft.com/office/drawing/2010/main" val="0"/>
                        </a:ext>
                      </a:extLst>
                    </a:blip>
                    <a:srcRect t="5672" b="51389"/>
                    <a:stretch/>
                  </pic:blipFill>
                  <pic:spPr bwMode="auto">
                    <a:xfrm>
                      <a:off x="0" y="0"/>
                      <a:ext cx="3445678" cy="2551590"/>
                    </a:xfrm>
                    <a:prstGeom prst="rect">
                      <a:avLst/>
                    </a:prstGeom>
                    <a:ln>
                      <a:noFill/>
                    </a:ln>
                    <a:extLst>
                      <a:ext uri="{53640926-AAD7-44D8-BBD7-CCE9431645EC}">
                        <a14:shadowObscured xmlns:a14="http://schemas.microsoft.com/office/drawing/2010/main"/>
                      </a:ext>
                    </a:extLst>
                  </pic:spPr>
                </pic:pic>
              </a:graphicData>
            </a:graphic>
          </wp:inline>
        </w:drawing>
      </w:r>
    </w:p>
    <w:p w:rsidR="00AA6B28" w:rsidRDefault="00AA6B28" w:rsidP="00AA6B28">
      <w:pPr>
        <w:pStyle w:val="BodyText1"/>
        <w:jc w:val="center"/>
      </w:pPr>
    </w:p>
    <w:p w:rsidR="00AA6B28" w:rsidRDefault="00AA6B28" w:rsidP="00423217">
      <w:pPr>
        <w:pStyle w:val="BodyText1"/>
        <w:jc w:val="center"/>
      </w:pPr>
      <w:r>
        <w:rPr>
          <w:i/>
        </w:rPr>
        <w:t xml:space="preserve">Fig 1: </w:t>
      </w:r>
      <w:r w:rsidRPr="00E55897">
        <w:rPr>
          <w:i/>
        </w:rPr>
        <w:t>Power spectru</w:t>
      </w:r>
      <w:r>
        <w:rPr>
          <w:i/>
        </w:rPr>
        <w:t>m for channel 0 on the array</w:t>
      </w:r>
      <w:r w:rsidRPr="00E55897">
        <w:rPr>
          <w:i/>
        </w:rPr>
        <w:t>. The spectrum is plotted over the deployment period across a range of low-to-mid frequencies. The spectrum begins at maximum ebb tide and ends shortly after slack tide, as shown b</w:t>
      </w:r>
      <w:r>
        <w:rPr>
          <w:i/>
        </w:rPr>
        <w:t xml:space="preserve">y the current speed time series. </w:t>
      </w:r>
      <w:r w:rsidRPr="00E55897">
        <w:rPr>
          <w:i/>
        </w:rPr>
        <w:t>Power decreases with current speed over the deployment period.</w:t>
      </w:r>
    </w:p>
    <w:p w:rsidR="000A36DD" w:rsidRDefault="000A36DD" w:rsidP="0052701D">
      <w:pPr>
        <w:pStyle w:val="BodyText1"/>
      </w:pPr>
    </w:p>
    <w:p w:rsidR="000A36DD" w:rsidRDefault="000A36DD" w:rsidP="000A36DD">
      <w:pPr>
        <w:pStyle w:val="BodyText1"/>
        <w:jc w:val="center"/>
      </w:pPr>
      <w:r>
        <w:rPr>
          <w:noProof/>
          <w:lang w:val="en-CA" w:eastAsia="en-CA"/>
        </w:rPr>
        <w:drawing>
          <wp:inline distT="0" distB="0" distL="0" distR="0">
            <wp:extent cx="365899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10301" cy="2781668"/>
                    </a:xfrm>
                    <a:prstGeom prst="rect">
                      <a:avLst/>
                    </a:prstGeom>
                  </pic:spPr>
                </pic:pic>
              </a:graphicData>
            </a:graphic>
          </wp:inline>
        </w:drawing>
      </w:r>
    </w:p>
    <w:p w:rsidR="0052701D" w:rsidRDefault="0052701D" w:rsidP="0052701D">
      <w:pPr>
        <w:pStyle w:val="BodyText1"/>
      </w:pPr>
    </w:p>
    <w:p w:rsidR="00AA6B28" w:rsidRDefault="00480280" w:rsidP="00AA6B28">
      <w:pPr>
        <w:pStyle w:val="BodyText1"/>
        <w:jc w:val="center"/>
        <w:rPr>
          <w:i/>
        </w:rPr>
      </w:pPr>
      <w:r>
        <w:rPr>
          <w:i/>
        </w:rPr>
        <w:t>Fig 2</w:t>
      </w:r>
      <w:r w:rsidR="004F3A28">
        <w:rPr>
          <w:i/>
        </w:rPr>
        <w:t xml:space="preserve">: </w:t>
      </w:r>
      <w:r w:rsidRPr="00E55897">
        <w:rPr>
          <w:i/>
        </w:rPr>
        <w:t>Fixed single hydrophone power spectrum probability density over the entire deployment period. Turbulent flow noise is prevalen</w:t>
      </w:r>
      <w:r>
        <w:rPr>
          <w:i/>
        </w:rPr>
        <w:t>t &lt; 10 Hz (where wavelengths &gt;&gt;</w:t>
      </w:r>
      <w:r w:rsidRPr="00E55897">
        <w:rPr>
          <w:i/>
        </w:rPr>
        <w:t xml:space="preserve"> sensor s</w:t>
      </w:r>
      <w:r>
        <w:rPr>
          <w:i/>
        </w:rPr>
        <w:t>ize), with a spectral slope of f</w:t>
      </w:r>
      <w:r w:rsidRPr="00480280">
        <w:rPr>
          <w:i/>
          <w:vertAlign w:val="superscript"/>
        </w:rPr>
        <w:t>-5/3</w:t>
      </w:r>
      <w:r w:rsidRPr="00E55897">
        <w:rPr>
          <w:i/>
        </w:rPr>
        <w:t>, while turbulence interacting with the hydrophone's finite volume (in the 10 Hz to 100 Hz ba</w:t>
      </w:r>
      <w:r>
        <w:rPr>
          <w:i/>
        </w:rPr>
        <w:t>nd) yields a spectral slope of f</w:t>
      </w:r>
      <w:r w:rsidRPr="00480280">
        <w:rPr>
          <w:i/>
          <w:vertAlign w:val="superscript"/>
        </w:rPr>
        <w:t>-m</w:t>
      </w:r>
      <w:r w:rsidRPr="00E55897">
        <w:rPr>
          <w:i/>
        </w:rPr>
        <w:t>. The ambient sound fi</w:t>
      </w:r>
      <w:r w:rsidR="009B41AD">
        <w:rPr>
          <w:i/>
        </w:rPr>
        <w:t>eld dominates at frequencies &gt;</w:t>
      </w:r>
      <w:r w:rsidRPr="00E55897">
        <w:rPr>
          <w:i/>
        </w:rPr>
        <w:t xml:space="preserve"> 300 Hz. Coloured lines represent individual spectra recorded at the time after deployment indicated in the legend.</w:t>
      </w:r>
      <w:r w:rsidR="004F3A28">
        <w:rPr>
          <w:i/>
        </w:rPr>
        <w:br/>
      </w:r>
    </w:p>
    <w:p w:rsidR="00866F3F" w:rsidRPr="00F061C8" w:rsidRDefault="00866F3F" w:rsidP="00F061C8">
      <w:pPr>
        <w:pStyle w:val="BodyText1"/>
        <w:rPr>
          <w:i/>
        </w:rPr>
      </w:pPr>
      <w:r>
        <w:t>Flow noise is uncorrelated and propagating ambient noise is highly correlated at low frequencies. Therefore, the spatial coherence results</w:t>
      </w:r>
      <w:r w:rsidR="00D1530D">
        <w:t xml:space="preserve"> (Fig. 3)</w:t>
      </w:r>
      <w:r>
        <w:t xml:space="preserve"> are partitioned into two distinct </w:t>
      </w:r>
      <w:r>
        <w:lastRenderedPageBreak/>
        <w:t xml:space="preserve">regions: a flow noise region and an ambient noise region. Visual assessment suggests that flow noise is consistently present at low frequencies and can be prominent at higher frequencies (&gt; 600 Hz). </w:t>
      </w:r>
      <w:r w:rsidR="00992D46" w:rsidRPr="00992D46">
        <w:t>Such coherence boundaries are the basis of the coherence critical frequency, which is the highest frequency at which flow noise can be detected.</w:t>
      </w:r>
    </w:p>
    <w:p w:rsidR="00BD2222" w:rsidRDefault="006A0366" w:rsidP="00A42F41">
      <w:pPr>
        <w:pStyle w:val="BodyText1"/>
        <w:pBdr>
          <w:bottom w:val="single" w:sz="12" w:space="0" w:color="FFFFFF"/>
          <w:right w:val="single" w:sz="12" w:space="31" w:color="FFFFFF"/>
        </w:pBdr>
        <w:jc w:val="center"/>
      </w:pPr>
      <w:r>
        <w:rPr>
          <w:i/>
          <w:noProof/>
          <w:lang w:val="en-CA" w:eastAsia="en-CA"/>
        </w:rPr>
        <w:drawing>
          <wp:inline distT="0" distB="0" distL="0" distR="0" wp14:anchorId="1EEBA4B4" wp14:editId="511A4549">
            <wp:extent cx="3948685" cy="25786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ult5.png"/>
                    <pic:cNvPicPr/>
                  </pic:nvPicPr>
                  <pic:blipFill rotWithShape="1">
                    <a:blip r:embed="rId21" cstate="print">
                      <a:extLst>
                        <a:ext uri="{28A0092B-C50C-407E-A947-70E740481C1C}">
                          <a14:useLocalDpi xmlns:a14="http://schemas.microsoft.com/office/drawing/2010/main" val="0"/>
                        </a:ext>
                      </a:extLst>
                    </a:blip>
                    <a:srcRect t="6077" b="50403"/>
                    <a:stretch/>
                  </pic:blipFill>
                  <pic:spPr bwMode="auto">
                    <a:xfrm>
                      <a:off x="0" y="0"/>
                      <a:ext cx="4010552" cy="2619101"/>
                    </a:xfrm>
                    <a:prstGeom prst="rect">
                      <a:avLst/>
                    </a:prstGeom>
                    <a:ln>
                      <a:noFill/>
                    </a:ln>
                    <a:extLst>
                      <a:ext uri="{53640926-AAD7-44D8-BBD7-CCE9431645EC}">
                        <a14:shadowObscured xmlns:a14="http://schemas.microsoft.com/office/drawing/2010/main"/>
                      </a:ext>
                    </a:extLst>
                  </pic:spPr>
                </pic:pic>
              </a:graphicData>
            </a:graphic>
          </wp:inline>
        </w:drawing>
      </w:r>
    </w:p>
    <w:p w:rsidR="00866F3F" w:rsidRDefault="006A0366" w:rsidP="00084577">
      <w:pPr>
        <w:pStyle w:val="BodyText1"/>
        <w:pBdr>
          <w:bottom w:val="single" w:sz="12" w:space="0" w:color="FFFFFF"/>
          <w:right w:val="single" w:sz="12" w:space="31" w:color="FFFFFF"/>
        </w:pBdr>
        <w:jc w:val="center"/>
        <w:rPr>
          <w:i/>
        </w:rPr>
      </w:pPr>
      <w:r>
        <w:rPr>
          <w:i/>
        </w:rPr>
        <w:t xml:space="preserve">Fig. 3: </w:t>
      </w:r>
      <w:r w:rsidR="0052701D" w:rsidRPr="001F05F5">
        <w:rPr>
          <w:i/>
        </w:rPr>
        <w:t>Spatial coherence over the experimental period. Magnitude coherence is expected to tend to unity as the fixed hydrophones become relatively co-located. However, uncorrelated flow noise on each phone breaks that relationship. The extent of incoherent flow noise increases with current speed. Channel 0 - 1 (a) and 0 - 3 (b) are shown as examples. Results hold to all other channel combinations.</w:t>
      </w:r>
    </w:p>
    <w:p w:rsidR="00B611B4" w:rsidRDefault="00B611B4" w:rsidP="00084577">
      <w:pPr>
        <w:pStyle w:val="BodyText1"/>
        <w:pBdr>
          <w:bottom w:val="single" w:sz="12" w:space="0" w:color="FFFFFF"/>
          <w:right w:val="single" w:sz="12" w:space="31" w:color="FFFFFF"/>
        </w:pBdr>
        <w:jc w:val="center"/>
      </w:pPr>
    </w:p>
    <w:p w:rsidR="0032327D" w:rsidRDefault="0032327D" w:rsidP="0032327D">
      <w:pPr>
        <w:pStyle w:val="BodyText1"/>
      </w:pPr>
      <w:r>
        <w:t>The spectral critical frequency of the coherent array output is compared to the fixed single hydrophone spectral and coherence critical frequencies in Fig. 4. The standard deviations of the spectral slope and spatial coherence critical frequency regressions were extracted from the averaged fits, while the standard deviation of the coherent array critical frequency regression was calculated from the data during the regression.</w:t>
      </w:r>
    </w:p>
    <w:p w:rsidR="006633AB" w:rsidRDefault="0032327D" w:rsidP="006633AB">
      <w:pPr>
        <w:pStyle w:val="BodyText1"/>
      </w:pPr>
      <w:r>
        <w:t>The coherence critical frequencies are relatively high, while spectral critical frequencies (both fixed single hydrophone and coherent array) are relatively low. This is attributed to the more sensitive nature of the coherence-based method. Above coherence critical frequencies we can be confident that there is no contamination of the ambient noise field by flow noise. Conversely, the fixed single hydrophone and coherent array spectral critical frequencies show where flow noise and ambient noise have equal power. The coherence and spectral critical frequencies serve as the respective upper and lower bounds of different noise regimes. Importantly, the coherent array output contains significantly lower critical frequencies than the fixed single hydrophone, indicating that the broadside beamforming approach lessens the extent of flow noise within the measurements.</w:t>
      </w:r>
      <w:r w:rsidR="006633AB" w:rsidRPr="006633AB">
        <w:t xml:space="preserve"> </w:t>
      </w:r>
    </w:p>
    <w:p w:rsidR="00DA2583" w:rsidRDefault="00DA2583" w:rsidP="00DA2583">
      <w:pPr>
        <w:pStyle w:val="BodyText1"/>
      </w:pPr>
      <w:r>
        <w:t>Fig. 5 illustrates the relationship between spectral critical frequency and the number of hydrophone elements on an array across a range of current speeds. We observe an inverse relationship between spectral critical frequency and hydrophone count.</w:t>
      </w:r>
    </w:p>
    <w:p w:rsidR="0032327D" w:rsidRDefault="0032327D" w:rsidP="00877BDF">
      <w:pPr>
        <w:pStyle w:val="BodyText1"/>
      </w:pPr>
    </w:p>
    <w:p w:rsidR="0032327D" w:rsidRDefault="0032327D" w:rsidP="0032327D">
      <w:pPr>
        <w:pStyle w:val="BodyText1"/>
        <w:jc w:val="center"/>
      </w:pPr>
      <w:r>
        <w:rPr>
          <w:noProof/>
          <w:lang w:val="en-CA" w:eastAsia="en-CA"/>
        </w:rPr>
        <w:lastRenderedPageBreak/>
        <w:drawing>
          <wp:inline distT="0" distB="0" distL="0" distR="0" wp14:anchorId="38FE745E" wp14:editId="14C31A6F">
            <wp:extent cx="3507261" cy="26304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lt7.png"/>
                    <pic:cNvPicPr/>
                  </pic:nvPicPr>
                  <pic:blipFill>
                    <a:blip r:embed="rId22">
                      <a:extLst>
                        <a:ext uri="{28A0092B-C50C-407E-A947-70E740481C1C}">
                          <a14:useLocalDpi xmlns:a14="http://schemas.microsoft.com/office/drawing/2010/main" val="0"/>
                        </a:ext>
                      </a:extLst>
                    </a:blip>
                    <a:stretch>
                      <a:fillRect/>
                    </a:stretch>
                  </pic:blipFill>
                  <pic:spPr>
                    <a:xfrm>
                      <a:off x="0" y="0"/>
                      <a:ext cx="3507261" cy="2630446"/>
                    </a:xfrm>
                    <a:prstGeom prst="rect">
                      <a:avLst/>
                    </a:prstGeom>
                  </pic:spPr>
                </pic:pic>
              </a:graphicData>
            </a:graphic>
          </wp:inline>
        </w:drawing>
      </w:r>
    </w:p>
    <w:p w:rsidR="006633AB" w:rsidRPr="00814132" w:rsidRDefault="00E46D61" w:rsidP="00814132">
      <w:pPr>
        <w:pStyle w:val="BodyText1"/>
        <w:pBdr>
          <w:bottom w:val="single" w:sz="12" w:space="0" w:color="FFFFFF"/>
          <w:right w:val="single" w:sz="12" w:space="31" w:color="FFFFFF"/>
        </w:pBdr>
        <w:rPr>
          <w:i/>
        </w:rPr>
      </w:pPr>
      <w:r>
        <w:rPr>
          <w:i/>
        </w:rPr>
        <w:t xml:space="preserve">Fig. 4: </w:t>
      </w:r>
      <w:r w:rsidR="0032327D" w:rsidRPr="0029428D">
        <w:rPr>
          <w:i/>
        </w:rPr>
        <w:t>Comparison of fixed single hydrophone spectral critical frequency (green), array spectral critical frequency (blue), and coherence critical frequency (red) as a function of current speed. Uncertainties are one standard deviation (shaded). Coherence critic</w:t>
      </w:r>
      <w:r w:rsidR="0032327D">
        <w:rPr>
          <w:i/>
        </w:rPr>
        <w:t>al frequency, f’</w:t>
      </w:r>
      <w:r w:rsidR="0032327D" w:rsidRPr="00417CEF">
        <w:rPr>
          <w:i/>
          <w:vertAlign w:val="subscript"/>
        </w:rPr>
        <w:t>c</w:t>
      </w:r>
      <w:r w:rsidR="0032327D" w:rsidRPr="0029428D">
        <w:rPr>
          <w:i/>
        </w:rPr>
        <w:t>, separates region I, where flow noise is negligible, and region II, where flow and ambient noise are both present, whil</w:t>
      </w:r>
      <w:r w:rsidR="0032327D">
        <w:rPr>
          <w:i/>
        </w:rPr>
        <w:t>e spectral critical frequency, f</w:t>
      </w:r>
      <w:r w:rsidR="0032327D" w:rsidRPr="00696447">
        <w:rPr>
          <w:i/>
          <w:vertAlign w:val="subscript"/>
        </w:rPr>
        <w:t>c</w:t>
      </w:r>
      <w:r w:rsidR="0032327D" w:rsidRPr="0029428D">
        <w:rPr>
          <w:i/>
        </w:rPr>
        <w:t xml:space="preserve"> separates regions II and III, where flow noise dominates. The coherent array effectively suppresses flow noise, as indicated by its lower boundary relative to the fixed single hydrophone. </w:t>
      </w:r>
    </w:p>
    <w:p w:rsidR="00B511B7" w:rsidRDefault="00B511B7" w:rsidP="00B511B7">
      <w:pPr>
        <w:pStyle w:val="BodyText1"/>
        <w:jc w:val="center"/>
      </w:pPr>
      <w:r>
        <w:rPr>
          <w:i/>
          <w:noProof/>
          <w:lang w:val="en-CA" w:eastAsia="en-CA"/>
        </w:rPr>
        <w:drawing>
          <wp:inline distT="0" distB="0" distL="0" distR="0" wp14:anchorId="35BC10EA" wp14:editId="0AE1AC3D">
            <wp:extent cx="3825175" cy="2868882"/>
            <wp:effectExtent l="0" t="0" r="444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atter.png"/>
                    <pic:cNvPicPr/>
                  </pic:nvPicPr>
                  <pic:blipFill>
                    <a:blip r:embed="rId23">
                      <a:extLst>
                        <a:ext uri="{28A0092B-C50C-407E-A947-70E740481C1C}">
                          <a14:useLocalDpi xmlns:a14="http://schemas.microsoft.com/office/drawing/2010/main" val="0"/>
                        </a:ext>
                      </a:extLst>
                    </a:blip>
                    <a:stretch>
                      <a:fillRect/>
                    </a:stretch>
                  </pic:blipFill>
                  <pic:spPr>
                    <a:xfrm>
                      <a:off x="0" y="0"/>
                      <a:ext cx="3825175" cy="2868882"/>
                    </a:xfrm>
                    <a:prstGeom prst="rect">
                      <a:avLst/>
                    </a:prstGeom>
                  </pic:spPr>
                </pic:pic>
              </a:graphicData>
            </a:graphic>
          </wp:inline>
        </w:drawing>
      </w:r>
      <w:bookmarkStart w:id="0" w:name="_GoBack"/>
      <w:bookmarkEnd w:id="0"/>
    </w:p>
    <w:p w:rsidR="00B511B7" w:rsidRDefault="00B511B7" w:rsidP="0003169E">
      <w:pPr>
        <w:pStyle w:val="BodyText1"/>
      </w:pPr>
    </w:p>
    <w:p w:rsidR="00F53A1B" w:rsidRPr="00B129C8" w:rsidRDefault="003642BB" w:rsidP="00B129C8">
      <w:pPr>
        <w:pStyle w:val="BodyText1"/>
        <w:rPr>
          <w:i/>
        </w:rPr>
      </w:pPr>
      <w:r>
        <w:rPr>
          <w:i/>
        </w:rPr>
        <w:t>Fig. 5: Relationship between spectral critical frequency</w:t>
      </w:r>
      <w:r w:rsidR="00EF274F">
        <w:rPr>
          <w:i/>
        </w:rPr>
        <w:t>, f</w:t>
      </w:r>
      <w:r w:rsidR="00EF274F">
        <w:rPr>
          <w:i/>
          <w:vertAlign w:val="subscript"/>
        </w:rPr>
        <w:t>c</w:t>
      </w:r>
      <w:r w:rsidR="00EF274F">
        <w:rPr>
          <w:i/>
        </w:rPr>
        <w:t>,</w:t>
      </w:r>
      <w:r>
        <w:rPr>
          <w:i/>
        </w:rPr>
        <w:t xml:space="preserve"> and the number of elements on </w:t>
      </w:r>
      <w:r w:rsidR="00705740">
        <w:rPr>
          <w:i/>
        </w:rPr>
        <w:t>a linear</w:t>
      </w:r>
      <w:r>
        <w:rPr>
          <w:i/>
        </w:rPr>
        <w:t xml:space="preserve"> array</w:t>
      </w:r>
      <w:r w:rsidR="0013476B">
        <w:rPr>
          <w:i/>
        </w:rPr>
        <w:t xml:space="preserve"> </w:t>
      </w:r>
      <w:r w:rsidR="00705740">
        <w:rPr>
          <w:i/>
        </w:rPr>
        <w:t>over</w:t>
      </w:r>
      <w:r w:rsidR="0013476B">
        <w:rPr>
          <w:i/>
        </w:rPr>
        <w:t xml:space="preserve"> a range of current speeds</w:t>
      </w:r>
      <w:r>
        <w:rPr>
          <w:i/>
        </w:rPr>
        <w:t>. There is a sequential relationship, where f</w:t>
      </w:r>
      <w:r>
        <w:rPr>
          <w:i/>
          <w:vertAlign w:val="subscript"/>
        </w:rPr>
        <w:t>c</w:t>
      </w:r>
      <w:r>
        <w:rPr>
          <w:i/>
        </w:rPr>
        <w:t xml:space="preserve"> is lowered as more hydrophones</w:t>
      </w:r>
      <w:r w:rsidR="00B40D0C">
        <w:rPr>
          <w:i/>
        </w:rPr>
        <w:t xml:space="preserve"> are added to the array. </w:t>
      </w:r>
      <w:r w:rsidR="00793442">
        <w:rPr>
          <w:i/>
        </w:rPr>
        <w:t>Dashed lines are lines of best fit for each current speed</w:t>
      </w:r>
      <w:r w:rsidR="00E3059F">
        <w:rPr>
          <w:i/>
        </w:rPr>
        <w:t xml:space="preserve"> f</w:t>
      </w:r>
      <w:r w:rsidR="00E3059F">
        <w:rPr>
          <w:i/>
          <w:vertAlign w:val="subscript"/>
        </w:rPr>
        <w:t>c</w:t>
      </w:r>
      <w:r w:rsidR="00E3059F">
        <w:rPr>
          <w:i/>
        </w:rPr>
        <w:t xml:space="preserve"> distribution</w:t>
      </w:r>
      <w:r w:rsidR="004724D3">
        <w:rPr>
          <w:i/>
        </w:rPr>
        <w:t xml:space="preserve"> and have been extended to </w:t>
      </w:r>
      <w:r w:rsidR="008240E3">
        <w:rPr>
          <w:i/>
        </w:rPr>
        <w:t>illustrate the marginal benefit of a longer array</w:t>
      </w:r>
      <w:r w:rsidR="00793442">
        <w:rPr>
          <w:i/>
        </w:rPr>
        <w:t>.</w:t>
      </w:r>
    </w:p>
    <w:p w:rsidR="00620912" w:rsidRDefault="00620912" w:rsidP="00E3449B">
      <w:pPr>
        <w:pStyle w:val="BibliographyHeading"/>
      </w:pPr>
      <w:r>
        <w:lastRenderedPageBreak/>
        <w:t>referenceS</w:t>
      </w:r>
    </w:p>
    <w:p w:rsidR="00103401" w:rsidRDefault="00103401" w:rsidP="00103401">
      <w:pPr>
        <w:pStyle w:val="AnnexeSection"/>
        <w:rPr>
          <w:b w:val="0"/>
        </w:rPr>
      </w:pPr>
      <w:r w:rsidRPr="00103401">
        <w:rPr>
          <w:caps w:val="0"/>
        </w:rPr>
        <w:t xml:space="preserve">R. Karsten, </w:t>
      </w:r>
      <w:r>
        <w:rPr>
          <w:caps w:val="0"/>
        </w:rPr>
        <w:t>A</w:t>
      </w:r>
      <w:r w:rsidRPr="00103401">
        <w:rPr>
          <w:caps w:val="0"/>
        </w:rPr>
        <w:t xml:space="preserve">. Swan, and </w:t>
      </w:r>
      <w:r>
        <w:rPr>
          <w:caps w:val="0"/>
        </w:rPr>
        <w:t>J</w:t>
      </w:r>
      <w:r w:rsidRPr="00103401">
        <w:rPr>
          <w:caps w:val="0"/>
        </w:rPr>
        <w:t xml:space="preserve">. Culina, </w:t>
      </w:r>
      <w:r w:rsidRPr="00103401">
        <w:rPr>
          <w:b w:val="0"/>
          <w:caps w:val="0"/>
        </w:rPr>
        <w:t xml:space="preserve">“Assessment of arrays of in-stream tidal turbines in the Bay of Fundy,” </w:t>
      </w:r>
      <w:r w:rsidRPr="002E57A5">
        <w:rPr>
          <w:b w:val="0"/>
          <w:i/>
          <w:caps w:val="0"/>
        </w:rPr>
        <w:t>Phil. Trans. R. Soc. A</w:t>
      </w:r>
      <w:r w:rsidRPr="00103401">
        <w:rPr>
          <w:b w:val="0"/>
          <w:caps w:val="0"/>
        </w:rPr>
        <w:t>, 306 vol. 371, no. 1985, p. 20120189, 201</w:t>
      </w:r>
      <w:r w:rsidRPr="00103401">
        <w:rPr>
          <w:b w:val="0"/>
        </w:rPr>
        <w:t>3.</w:t>
      </w:r>
    </w:p>
    <w:p w:rsidR="00B06B61" w:rsidRPr="00B06B61" w:rsidRDefault="00B06B61" w:rsidP="00B06B61">
      <w:pPr>
        <w:pStyle w:val="AnnexeSection"/>
        <w:rPr>
          <w:b w:val="0"/>
        </w:rPr>
      </w:pPr>
      <w:r w:rsidRPr="00CA4180">
        <w:rPr>
          <w:caps w:val="0"/>
        </w:rPr>
        <w:t>D. R. Barclay and M. J. Buckingham</w:t>
      </w:r>
      <w:r w:rsidRPr="00B06B61">
        <w:rPr>
          <w:b w:val="0"/>
          <w:caps w:val="0"/>
        </w:rPr>
        <w:t>, “</w:t>
      </w:r>
      <w:r>
        <w:rPr>
          <w:b w:val="0"/>
          <w:caps w:val="0"/>
        </w:rPr>
        <w:t>D</w:t>
      </w:r>
      <w:r w:rsidRPr="00B06B61">
        <w:rPr>
          <w:b w:val="0"/>
          <w:caps w:val="0"/>
        </w:rPr>
        <w:t>epth dependence of wind-driven, broadband ambient noise in the Philippine</w:t>
      </w:r>
      <w:r>
        <w:rPr>
          <w:b w:val="0"/>
          <w:caps w:val="0"/>
        </w:rPr>
        <w:t xml:space="preserve"> S</w:t>
      </w:r>
      <w:r w:rsidRPr="00B06B61">
        <w:rPr>
          <w:b w:val="0"/>
          <w:caps w:val="0"/>
        </w:rPr>
        <w:t xml:space="preserve">ea,” </w:t>
      </w:r>
      <w:r w:rsidRPr="00B06B61">
        <w:rPr>
          <w:b w:val="0"/>
          <w:i/>
          <w:caps w:val="0"/>
        </w:rPr>
        <w:t>The Journal Of The Acoustical Society Of America</w:t>
      </w:r>
      <w:r w:rsidRPr="00B06B61">
        <w:rPr>
          <w:b w:val="0"/>
          <w:caps w:val="0"/>
        </w:rPr>
        <w:t xml:space="preserve">, vol. 133, no. 1, pp. </w:t>
      </w:r>
      <w:r w:rsidRPr="00B06B61">
        <w:rPr>
          <w:b w:val="0"/>
        </w:rPr>
        <w:t>62–71, 2013.</w:t>
      </w:r>
    </w:p>
    <w:p w:rsidR="006E68A8" w:rsidRPr="00065B07" w:rsidRDefault="001D2CCC" w:rsidP="006E68A8">
      <w:pPr>
        <w:pStyle w:val="AnnexeSection"/>
        <w:rPr>
          <w:caps w:val="0"/>
        </w:rPr>
      </w:pPr>
      <w:r w:rsidRPr="002E57A5">
        <w:rPr>
          <w:caps w:val="0"/>
        </w:rPr>
        <w:t>H. Cox</w:t>
      </w:r>
      <w:r w:rsidR="002E57A5" w:rsidRPr="002E57A5">
        <w:rPr>
          <w:caps w:val="0"/>
        </w:rPr>
        <w:t xml:space="preserve">, </w:t>
      </w:r>
      <w:r w:rsidR="002E57A5">
        <w:rPr>
          <w:b w:val="0"/>
          <w:caps w:val="0"/>
        </w:rPr>
        <w:t>“L</w:t>
      </w:r>
      <w:r w:rsidR="002E57A5" w:rsidRPr="002E57A5">
        <w:rPr>
          <w:b w:val="0"/>
          <w:caps w:val="0"/>
        </w:rPr>
        <w:t>ine array performance when the signal cohe</w:t>
      </w:r>
      <w:r w:rsidR="002E57A5">
        <w:rPr>
          <w:b w:val="0"/>
          <w:caps w:val="0"/>
        </w:rPr>
        <w:t xml:space="preserve">rence is spatially dependent,” </w:t>
      </w:r>
      <w:r w:rsidR="002E57A5" w:rsidRPr="002E57A5">
        <w:rPr>
          <w:b w:val="0"/>
          <w:i/>
          <w:caps w:val="0"/>
        </w:rPr>
        <w:t>The Journal Of The Acoustical Society Of America</w:t>
      </w:r>
      <w:r w:rsidR="002E57A5" w:rsidRPr="002E57A5">
        <w:rPr>
          <w:b w:val="0"/>
          <w:caps w:val="0"/>
        </w:rPr>
        <w:t>, vol.</w:t>
      </w:r>
      <w:r w:rsidR="0063088F">
        <w:rPr>
          <w:b w:val="0"/>
          <w:caps w:val="0"/>
        </w:rPr>
        <w:t xml:space="preserve"> 54, no. 6, pp. 1743–1746, 1973.</w:t>
      </w:r>
    </w:p>
    <w:p w:rsidR="00065B07" w:rsidRPr="005A67EA" w:rsidRDefault="00065B07" w:rsidP="00065B07">
      <w:pPr>
        <w:pStyle w:val="AnnexeSection"/>
        <w:rPr>
          <w:caps w:val="0"/>
        </w:rPr>
      </w:pPr>
      <w:r w:rsidRPr="00065B07">
        <w:rPr>
          <w:caps w:val="0"/>
        </w:rPr>
        <w:t xml:space="preserve">N. D. Merchant, T. R. Barton, P. M. Thompson, E. </w:t>
      </w:r>
      <w:proofErr w:type="spellStart"/>
      <w:r w:rsidRPr="00065B07">
        <w:rPr>
          <w:caps w:val="0"/>
        </w:rPr>
        <w:t>Pirotta</w:t>
      </w:r>
      <w:proofErr w:type="spellEnd"/>
      <w:r w:rsidRPr="00065B07">
        <w:rPr>
          <w:caps w:val="0"/>
        </w:rPr>
        <w:t xml:space="preserve">, D. T. Dakin, and J. </w:t>
      </w:r>
      <w:proofErr w:type="spellStart"/>
      <w:r w:rsidRPr="00065B07">
        <w:rPr>
          <w:caps w:val="0"/>
        </w:rPr>
        <w:t>Dorocicz</w:t>
      </w:r>
      <w:proofErr w:type="spellEnd"/>
      <w:r w:rsidRPr="00065B07">
        <w:rPr>
          <w:caps w:val="0"/>
        </w:rPr>
        <w:t xml:space="preserve">, </w:t>
      </w:r>
      <w:r w:rsidRPr="00065B07">
        <w:rPr>
          <w:b w:val="0"/>
          <w:caps w:val="0"/>
        </w:rPr>
        <w:t xml:space="preserve">“Spectral probability density as a tool for ambient noise analysis,” </w:t>
      </w:r>
      <w:r w:rsidRPr="004A2CDF">
        <w:rPr>
          <w:b w:val="0"/>
          <w:i/>
          <w:caps w:val="0"/>
        </w:rPr>
        <w:t>The Journal of the Acoustical Society of America</w:t>
      </w:r>
      <w:r w:rsidRPr="00065B07">
        <w:rPr>
          <w:b w:val="0"/>
          <w:caps w:val="0"/>
        </w:rPr>
        <w:t>, vol. 133, no. 4, pp. EL262–EL267, 2013.</w:t>
      </w:r>
    </w:p>
    <w:p w:rsidR="005A67EA" w:rsidRPr="005A67EA" w:rsidRDefault="005A67EA" w:rsidP="005A67EA">
      <w:pPr>
        <w:pStyle w:val="AnnexeSection"/>
        <w:rPr>
          <w:caps w:val="0"/>
        </w:rPr>
      </w:pPr>
      <w:r w:rsidRPr="005A67EA">
        <w:rPr>
          <w:caps w:val="0"/>
        </w:rPr>
        <w:t xml:space="preserve">C. Bassett, J. Thomson, P. H. Dahl, and B. </w:t>
      </w:r>
      <w:proofErr w:type="spellStart"/>
      <w:r w:rsidRPr="005A67EA">
        <w:rPr>
          <w:caps w:val="0"/>
        </w:rPr>
        <w:t>Polagye</w:t>
      </w:r>
      <w:proofErr w:type="spellEnd"/>
      <w:r w:rsidRPr="005A67EA">
        <w:rPr>
          <w:caps w:val="0"/>
        </w:rPr>
        <w:t xml:space="preserve">, </w:t>
      </w:r>
      <w:r w:rsidRPr="005A67EA">
        <w:rPr>
          <w:b w:val="0"/>
          <w:caps w:val="0"/>
        </w:rPr>
        <w:t xml:space="preserve">“Flow-noise and turbulence in two tidal channels,” </w:t>
      </w:r>
      <w:r w:rsidRPr="005A67EA">
        <w:rPr>
          <w:b w:val="0"/>
          <w:i/>
          <w:caps w:val="0"/>
        </w:rPr>
        <w:t>The Journal of the Acoustical</w:t>
      </w:r>
      <w:r w:rsidRPr="005A67EA">
        <w:rPr>
          <w:b w:val="0"/>
          <w:i/>
          <w:caps w:val="0"/>
        </w:rPr>
        <w:t xml:space="preserve"> </w:t>
      </w:r>
      <w:r w:rsidRPr="005A67EA">
        <w:rPr>
          <w:b w:val="0"/>
          <w:i/>
          <w:caps w:val="0"/>
        </w:rPr>
        <w:t>Society of America</w:t>
      </w:r>
      <w:r w:rsidRPr="005A67EA">
        <w:rPr>
          <w:b w:val="0"/>
          <w:caps w:val="0"/>
        </w:rPr>
        <w:t>, vol. 135, no. 4, pp. 1764–1774, 2014.</w:t>
      </w:r>
    </w:p>
    <w:sectPr w:rsidR="005A67EA" w:rsidRPr="005A67E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FB58AF"/>
    <w:multiLevelType w:val="singleLevel"/>
    <w:tmpl w:val="4A609F72"/>
    <w:lvl w:ilvl="0">
      <w:start w:val="1"/>
      <w:numFmt w:val="decimal"/>
      <w:pStyle w:val="AnnexeSection"/>
      <w:lvlText w:val="[%1]"/>
      <w:lvlJc w:val="left"/>
      <w:pPr>
        <w:tabs>
          <w:tab w:val="num" w:pos="360"/>
        </w:tabs>
        <w:ind w:left="360" w:hanging="360"/>
      </w:pPr>
      <w:rPr>
        <w:b w:val="0"/>
      </w:rPr>
    </w:lvl>
  </w:abstractNum>
  <w:abstractNum w:abstractNumId="1" w15:restartNumberingAfterBreak="0">
    <w:nsid w:val="2E61069D"/>
    <w:multiLevelType w:val="singleLevel"/>
    <w:tmpl w:val="040C0001"/>
    <w:lvl w:ilvl="0">
      <w:start w:val="1"/>
      <w:numFmt w:val="bullet"/>
      <w:pStyle w:val="SectionHeading"/>
      <w:lvlText w:val=""/>
      <w:lvlJc w:val="left"/>
      <w:pPr>
        <w:tabs>
          <w:tab w:val="num" w:pos="360"/>
        </w:tabs>
        <w:ind w:left="360" w:hanging="360"/>
      </w:pPr>
      <w:rPr>
        <w:rFonts w:ascii="Symbol" w:hAnsi="Symbol" w:hint="default"/>
      </w:rPr>
    </w:lvl>
  </w:abstractNum>
  <w:abstractNum w:abstractNumId="2" w15:restartNumberingAfterBreak="0">
    <w:nsid w:val="2E9D01E5"/>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305603B8"/>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547C589E"/>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59E43E78"/>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6BED2A3C"/>
    <w:multiLevelType w:val="multilevel"/>
    <w:tmpl w:val="49E40D76"/>
    <w:lvl w:ilvl="0">
      <w:start w:val="1"/>
      <w:numFmt w:val="decimal"/>
      <w:lvlText w:val="A%1. "/>
      <w:lvlJc w:val="left"/>
      <w:pPr>
        <w:tabs>
          <w:tab w:val="num" w:pos="720"/>
        </w:tabs>
        <w:ind w:left="360" w:hanging="360"/>
      </w:pPr>
    </w:lvl>
    <w:lvl w:ilvl="1">
      <w:start w:val="1"/>
      <w:numFmt w:val="decimal"/>
      <w:lvlText w:val="A%1.%2. "/>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7556361A"/>
    <w:multiLevelType w:val="multilevel"/>
    <w:tmpl w:val="A7224F98"/>
    <w:lvl w:ilvl="0">
      <w:start w:val="1"/>
      <w:numFmt w:val="decimal"/>
      <w:pStyle w:val="SubsubsectionHeading"/>
      <w:lvlText w:val="%1."/>
      <w:lvlJc w:val="left"/>
      <w:pPr>
        <w:tabs>
          <w:tab w:val="num" w:pos="360"/>
        </w:tabs>
        <w:ind w:left="360" w:hanging="360"/>
      </w:pPr>
    </w:lvl>
    <w:lvl w:ilvl="1">
      <w:start w:val="1"/>
      <w:numFmt w:val="decimal"/>
      <w:pStyle w:val="Keywords"/>
      <w:lvlText w:val="%1.%2."/>
      <w:lvlJc w:val="left"/>
      <w:pPr>
        <w:tabs>
          <w:tab w:val="num" w:pos="1080"/>
        </w:tabs>
        <w:ind w:left="792" w:hanging="432"/>
      </w:pPr>
    </w:lvl>
    <w:lvl w:ilvl="2">
      <w:start w:val="1"/>
      <w:numFmt w:val="decimal"/>
      <w:pStyle w:val="AnnexeSubsection"/>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0"/>
  </w:num>
  <w:num w:numId="2">
    <w:abstractNumId w:val="7"/>
  </w:num>
  <w:num w:numId="3">
    <w:abstractNumId w:val="1"/>
  </w:num>
  <w:num w:numId="4">
    <w:abstractNumId w:val="5"/>
  </w:num>
  <w:num w:numId="5">
    <w:abstractNumId w:val="3"/>
  </w:num>
  <w:num w:numId="6">
    <w:abstractNumId w:val="4"/>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912"/>
    <w:rsid w:val="000154C5"/>
    <w:rsid w:val="0002298B"/>
    <w:rsid w:val="0002407B"/>
    <w:rsid w:val="0003169E"/>
    <w:rsid w:val="00045CD9"/>
    <w:rsid w:val="000503E1"/>
    <w:rsid w:val="00051C5B"/>
    <w:rsid w:val="0006011B"/>
    <w:rsid w:val="00063EC4"/>
    <w:rsid w:val="00065B07"/>
    <w:rsid w:val="000720AB"/>
    <w:rsid w:val="00084577"/>
    <w:rsid w:val="000873DA"/>
    <w:rsid w:val="000A1347"/>
    <w:rsid w:val="000A36DD"/>
    <w:rsid w:val="000B4208"/>
    <w:rsid w:val="000C7514"/>
    <w:rsid w:val="000D5DEA"/>
    <w:rsid w:val="000D6559"/>
    <w:rsid w:val="000E7C74"/>
    <w:rsid w:val="000F2004"/>
    <w:rsid w:val="000F5392"/>
    <w:rsid w:val="000F591A"/>
    <w:rsid w:val="000F6E46"/>
    <w:rsid w:val="00100561"/>
    <w:rsid w:val="00103401"/>
    <w:rsid w:val="00107358"/>
    <w:rsid w:val="001107AC"/>
    <w:rsid w:val="00112F59"/>
    <w:rsid w:val="00123C5B"/>
    <w:rsid w:val="0013476B"/>
    <w:rsid w:val="00150BF7"/>
    <w:rsid w:val="0015522F"/>
    <w:rsid w:val="00155BCE"/>
    <w:rsid w:val="00181FD4"/>
    <w:rsid w:val="001A6BD6"/>
    <w:rsid w:val="001C2DA1"/>
    <w:rsid w:val="001C6949"/>
    <w:rsid w:val="001D2CCC"/>
    <w:rsid w:val="001E542B"/>
    <w:rsid w:val="001E647C"/>
    <w:rsid w:val="001E7C55"/>
    <w:rsid w:val="001F05F5"/>
    <w:rsid w:val="001F58C3"/>
    <w:rsid w:val="0021482B"/>
    <w:rsid w:val="00215C85"/>
    <w:rsid w:val="00225CE0"/>
    <w:rsid w:val="002368EC"/>
    <w:rsid w:val="00244359"/>
    <w:rsid w:val="00244C26"/>
    <w:rsid w:val="0025084D"/>
    <w:rsid w:val="0025386F"/>
    <w:rsid w:val="00254A9F"/>
    <w:rsid w:val="002746D8"/>
    <w:rsid w:val="00276AB9"/>
    <w:rsid w:val="0029428D"/>
    <w:rsid w:val="002A1001"/>
    <w:rsid w:val="002A7626"/>
    <w:rsid w:val="002C3EEB"/>
    <w:rsid w:val="002E28AD"/>
    <w:rsid w:val="002E57A5"/>
    <w:rsid w:val="002E6906"/>
    <w:rsid w:val="002F0E8E"/>
    <w:rsid w:val="002F101C"/>
    <w:rsid w:val="00307725"/>
    <w:rsid w:val="0032327D"/>
    <w:rsid w:val="00337474"/>
    <w:rsid w:val="003452DB"/>
    <w:rsid w:val="00352F50"/>
    <w:rsid w:val="00362814"/>
    <w:rsid w:val="0036409E"/>
    <w:rsid w:val="003642BB"/>
    <w:rsid w:val="00370BB5"/>
    <w:rsid w:val="00377DAB"/>
    <w:rsid w:val="00387162"/>
    <w:rsid w:val="003A6FE5"/>
    <w:rsid w:val="003B7A57"/>
    <w:rsid w:val="003C65F3"/>
    <w:rsid w:val="003D408F"/>
    <w:rsid w:val="003F747E"/>
    <w:rsid w:val="004052C7"/>
    <w:rsid w:val="00410E2E"/>
    <w:rsid w:val="00415146"/>
    <w:rsid w:val="00416904"/>
    <w:rsid w:val="00417CEF"/>
    <w:rsid w:val="00423217"/>
    <w:rsid w:val="00425F29"/>
    <w:rsid w:val="0042786B"/>
    <w:rsid w:val="0043034A"/>
    <w:rsid w:val="00432973"/>
    <w:rsid w:val="00436518"/>
    <w:rsid w:val="00436A67"/>
    <w:rsid w:val="004420CF"/>
    <w:rsid w:val="00444FDF"/>
    <w:rsid w:val="00453886"/>
    <w:rsid w:val="004724D3"/>
    <w:rsid w:val="00480280"/>
    <w:rsid w:val="004A2CDF"/>
    <w:rsid w:val="004A595E"/>
    <w:rsid w:val="004B32A3"/>
    <w:rsid w:val="004B3E03"/>
    <w:rsid w:val="004B3FD0"/>
    <w:rsid w:val="004D6BA1"/>
    <w:rsid w:val="004E197D"/>
    <w:rsid w:val="004F3A28"/>
    <w:rsid w:val="004F4F66"/>
    <w:rsid w:val="004F5C93"/>
    <w:rsid w:val="005068A0"/>
    <w:rsid w:val="00514DC9"/>
    <w:rsid w:val="005153EC"/>
    <w:rsid w:val="00515B50"/>
    <w:rsid w:val="0052342B"/>
    <w:rsid w:val="005249E6"/>
    <w:rsid w:val="0052701D"/>
    <w:rsid w:val="00535695"/>
    <w:rsid w:val="005533BE"/>
    <w:rsid w:val="005535BE"/>
    <w:rsid w:val="0056095B"/>
    <w:rsid w:val="00572716"/>
    <w:rsid w:val="00574146"/>
    <w:rsid w:val="00581E0C"/>
    <w:rsid w:val="00584EBB"/>
    <w:rsid w:val="005865C3"/>
    <w:rsid w:val="00594027"/>
    <w:rsid w:val="005976C2"/>
    <w:rsid w:val="005A67EA"/>
    <w:rsid w:val="005C54EC"/>
    <w:rsid w:val="005D65EE"/>
    <w:rsid w:val="005E3EDA"/>
    <w:rsid w:val="005F062A"/>
    <w:rsid w:val="005F13D5"/>
    <w:rsid w:val="00601273"/>
    <w:rsid w:val="00603D9E"/>
    <w:rsid w:val="0060706F"/>
    <w:rsid w:val="006133A7"/>
    <w:rsid w:val="00616378"/>
    <w:rsid w:val="00617481"/>
    <w:rsid w:val="00620912"/>
    <w:rsid w:val="00625936"/>
    <w:rsid w:val="00625CF6"/>
    <w:rsid w:val="00625DC9"/>
    <w:rsid w:val="00626F3F"/>
    <w:rsid w:val="0063088F"/>
    <w:rsid w:val="0063553F"/>
    <w:rsid w:val="006371E2"/>
    <w:rsid w:val="00654C0C"/>
    <w:rsid w:val="006633AB"/>
    <w:rsid w:val="006673BA"/>
    <w:rsid w:val="00686B34"/>
    <w:rsid w:val="00696447"/>
    <w:rsid w:val="006A0366"/>
    <w:rsid w:val="006A42D0"/>
    <w:rsid w:val="006B3AE7"/>
    <w:rsid w:val="006B56C8"/>
    <w:rsid w:val="006C4F7B"/>
    <w:rsid w:val="006D39BB"/>
    <w:rsid w:val="006E68A8"/>
    <w:rsid w:val="0070124A"/>
    <w:rsid w:val="00705740"/>
    <w:rsid w:val="00720D0D"/>
    <w:rsid w:val="00740CE9"/>
    <w:rsid w:val="00742715"/>
    <w:rsid w:val="00743AD0"/>
    <w:rsid w:val="007629DD"/>
    <w:rsid w:val="00765922"/>
    <w:rsid w:val="00793442"/>
    <w:rsid w:val="007970FA"/>
    <w:rsid w:val="007A493C"/>
    <w:rsid w:val="007B65F0"/>
    <w:rsid w:val="007C5B72"/>
    <w:rsid w:val="007D40C1"/>
    <w:rsid w:val="007D7954"/>
    <w:rsid w:val="007E2454"/>
    <w:rsid w:val="007E466B"/>
    <w:rsid w:val="00801BD2"/>
    <w:rsid w:val="00806898"/>
    <w:rsid w:val="00810242"/>
    <w:rsid w:val="00810BBA"/>
    <w:rsid w:val="00814132"/>
    <w:rsid w:val="00823B6E"/>
    <w:rsid w:val="008240D1"/>
    <w:rsid w:val="008240E3"/>
    <w:rsid w:val="00866F3F"/>
    <w:rsid w:val="00874782"/>
    <w:rsid w:val="00877BDF"/>
    <w:rsid w:val="00881158"/>
    <w:rsid w:val="008A5B5C"/>
    <w:rsid w:val="008A6E55"/>
    <w:rsid w:val="008B5AC6"/>
    <w:rsid w:val="008B5E30"/>
    <w:rsid w:val="008C32B8"/>
    <w:rsid w:val="008D3482"/>
    <w:rsid w:val="008D4D1F"/>
    <w:rsid w:val="008D5D94"/>
    <w:rsid w:val="008E22F4"/>
    <w:rsid w:val="008E2C80"/>
    <w:rsid w:val="008F11C8"/>
    <w:rsid w:val="00901B31"/>
    <w:rsid w:val="00913115"/>
    <w:rsid w:val="00926AA7"/>
    <w:rsid w:val="0097679E"/>
    <w:rsid w:val="00981FF1"/>
    <w:rsid w:val="00992D46"/>
    <w:rsid w:val="00995930"/>
    <w:rsid w:val="009A3809"/>
    <w:rsid w:val="009A6781"/>
    <w:rsid w:val="009B41AD"/>
    <w:rsid w:val="009C23D5"/>
    <w:rsid w:val="009D3587"/>
    <w:rsid w:val="009D4E8D"/>
    <w:rsid w:val="009E7BC0"/>
    <w:rsid w:val="00A0063B"/>
    <w:rsid w:val="00A00D0A"/>
    <w:rsid w:val="00A14D10"/>
    <w:rsid w:val="00A179BD"/>
    <w:rsid w:val="00A21FE6"/>
    <w:rsid w:val="00A3130A"/>
    <w:rsid w:val="00A33C58"/>
    <w:rsid w:val="00A36F32"/>
    <w:rsid w:val="00A42F41"/>
    <w:rsid w:val="00A4366B"/>
    <w:rsid w:val="00A46A75"/>
    <w:rsid w:val="00A81815"/>
    <w:rsid w:val="00A82375"/>
    <w:rsid w:val="00A87059"/>
    <w:rsid w:val="00A9357B"/>
    <w:rsid w:val="00AA17A9"/>
    <w:rsid w:val="00AA6B28"/>
    <w:rsid w:val="00AB069B"/>
    <w:rsid w:val="00AB67BD"/>
    <w:rsid w:val="00AC4362"/>
    <w:rsid w:val="00AD000F"/>
    <w:rsid w:val="00AD6F6B"/>
    <w:rsid w:val="00AF622F"/>
    <w:rsid w:val="00B06B61"/>
    <w:rsid w:val="00B129C8"/>
    <w:rsid w:val="00B12D1B"/>
    <w:rsid w:val="00B13978"/>
    <w:rsid w:val="00B216B5"/>
    <w:rsid w:val="00B40D0C"/>
    <w:rsid w:val="00B4375C"/>
    <w:rsid w:val="00B47948"/>
    <w:rsid w:val="00B511B7"/>
    <w:rsid w:val="00B52EE1"/>
    <w:rsid w:val="00B562A6"/>
    <w:rsid w:val="00B611B4"/>
    <w:rsid w:val="00B75011"/>
    <w:rsid w:val="00B822DF"/>
    <w:rsid w:val="00B84210"/>
    <w:rsid w:val="00B875D8"/>
    <w:rsid w:val="00B97AB8"/>
    <w:rsid w:val="00BB3158"/>
    <w:rsid w:val="00BC1BE8"/>
    <w:rsid w:val="00BD2222"/>
    <w:rsid w:val="00BE1E1A"/>
    <w:rsid w:val="00BE2E47"/>
    <w:rsid w:val="00BF70BD"/>
    <w:rsid w:val="00C11A3A"/>
    <w:rsid w:val="00C16535"/>
    <w:rsid w:val="00C17BCE"/>
    <w:rsid w:val="00C4001D"/>
    <w:rsid w:val="00C52707"/>
    <w:rsid w:val="00C7587C"/>
    <w:rsid w:val="00C76F4F"/>
    <w:rsid w:val="00C77BD0"/>
    <w:rsid w:val="00C815E8"/>
    <w:rsid w:val="00C82F7E"/>
    <w:rsid w:val="00C84A1B"/>
    <w:rsid w:val="00C90180"/>
    <w:rsid w:val="00C9624B"/>
    <w:rsid w:val="00CA0DB7"/>
    <w:rsid w:val="00CA4180"/>
    <w:rsid w:val="00CC02FC"/>
    <w:rsid w:val="00CC56C0"/>
    <w:rsid w:val="00CC7138"/>
    <w:rsid w:val="00CD0501"/>
    <w:rsid w:val="00CE130C"/>
    <w:rsid w:val="00CF49A2"/>
    <w:rsid w:val="00D12389"/>
    <w:rsid w:val="00D1259B"/>
    <w:rsid w:val="00D1530D"/>
    <w:rsid w:val="00D1614B"/>
    <w:rsid w:val="00D1699D"/>
    <w:rsid w:val="00D241AE"/>
    <w:rsid w:val="00D24D1B"/>
    <w:rsid w:val="00D26695"/>
    <w:rsid w:val="00D27215"/>
    <w:rsid w:val="00D37508"/>
    <w:rsid w:val="00D37848"/>
    <w:rsid w:val="00D41365"/>
    <w:rsid w:val="00D43E8D"/>
    <w:rsid w:val="00D45488"/>
    <w:rsid w:val="00D46EEC"/>
    <w:rsid w:val="00D5305D"/>
    <w:rsid w:val="00D73167"/>
    <w:rsid w:val="00D74868"/>
    <w:rsid w:val="00D80753"/>
    <w:rsid w:val="00D81A4C"/>
    <w:rsid w:val="00D93B18"/>
    <w:rsid w:val="00D978E1"/>
    <w:rsid w:val="00DA1D35"/>
    <w:rsid w:val="00DA2583"/>
    <w:rsid w:val="00DC1AF9"/>
    <w:rsid w:val="00DC4C85"/>
    <w:rsid w:val="00DC53F9"/>
    <w:rsid w:val="00DC7F03"/>
    <w:rsid w:val="00DF0B31"/>
    <w:rsid w:val="00DF1CA4"/>
    <w:rsid w:val="00E05C50"/>
    <w:rsid w:val="00E142DD"/>
    <w:rsid w:val="00E23111"/>
    <w:rsid w:val="00E27A3B"/>
    <w:rsid w:val="00E301D1"/>
    <w:rsid w:val="00E3059F"/>
    <w:rsid w:val="00E3449B"/>
    <w:rsid w:val="00E46D61"/>
    <w:rsid w:val="00E55897"/>
    <w:rsid w:val="00E60A6F"/>
    <w:rsid w:val="00E64190"/>
    <w:rsid w:val="00E73F5D"/>
    <w:rsid w:val="00E80B13"/>
    <w:rsid w:val="00E906FA"/>
    <w:rsid w:val="00E95321"/>
    <w:rsid w:val="00EA259B"/>
    <w:rsid w:val="00EA62E4"/>
    <w:rsid w:val="00EC52DD"/>
    <w:rsid w:val="00ED140E"/>
    <w:rsid w:val="00EE48AD"/>
    <w:rsid w:val="00EF274F"/>
    <w:rsid w:val="00F061C8"/>
    <w:rsid w:val="00F06448"/>
    <w:rsid w:val="00F11D9B"/>
    <w:rsid w:val="00F24702"/>
    <w:rsid w:val="00F30304"/>
    <w:rsid w:val="00F40260"/>
    <w:rsid w:val="00F53A1B"/>
    <w:rsid w:val="00F77AD9"/>
    <w:rsid w:val="00F811AD"/>
    <w:rsid w:val="00F826D5"/>
    <w:rsid w:val="00F94D33"/>
    <w:rsid w:val="00FA1BD8"/>
    <w:rsid w:val="00FA49AA"/>
    <w:rsid w:val="00FA56D1"/>
    <w:rsid w:val="00FF0123"/>
    <w:rsid w:val="00FF799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F37D5C-774E-4C04-8706-8352E3EC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0912"/>
    <w:pPr>
      <w:spacing w:after="0" w:line="240" w:lineRule="auto"/>
    </w:pPr>
    <w:rPr>
      <w:rFonts w:ascii="Times New Roman" w:eastAsia="Times New Roman" w:hAnsi="Times New Roman" w:cs="Times New Roman"/>
      <w:sz w:val="20"/>
      <w:szCs w:val="20"/>
      <w:lang w:val="en-GB" w:eastAsia="nl-NL"/>
    </w:rPr>
  </w:style>
  <w:style w:type="paragraph" w:styleId="Heading1">
    <w:name w:val="heading 1"/>
    <w:basedOn w:val="Normal"/>
    <w:next w:val="Normal"/>
    <w:link w:val="Heading1Char"/>
    <w:qFormat/>
    <w:rsid w:val="00620912"/>
    <w:pPr>
      <w:keepNext/>
      <w:outlineLvl w:val="0"/>
    </w:pPr>
    <w:rPr>
      <w:sz w:val="24"/>
    </w:rPr>
  </w:style>
  <w:style w:type="paragraph" w:styleId="Heading2">
    <w:name w:val="heading 2"/>
    <w:basedOn w:val="Normal"/>
    <w:next w:val="Normal"/>
    <w:link w:val="Heading2Char"/>
    <w:qFormat/>
    <w:rsid w:val="00620912"/>
    <w:pPr>
      <w:keepNext/>
      <w:outlineLvl w:val="1"/>
    </w:pPr>
    <w:rPr>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20912"/>
    <w:rPr>
      <w:rFonts w:ascii="Times New Roman" w:eastAsia="Times New Roman" w:hAnsi="Times New Roman" w:cs="Times New Roman"/>
      <w:sz w:val="24"/>
      <w:szCs w:val="20"/>
      <w:lang w:val="en-GB" w:eastAsia="nl-NL"/>
    </w:rPr>
  </w:style>
  <w:style w:type="character" w:customStyle="1" w:styleId="Heading2Char">
    <w:name w:val="Heading 2 Char"/>
    <w:basedOn w:val="DefaultParagraphFont"/>
    <w:link w:val="Heading2"/>
    <w:rsid w:val="00620912"/>
    <w:rPr>
      <w:rFonts w:ascii="Times New Roman" w:eastAsia="Times New Roman" w:hAnsi="Times New Roman" w:cs="Times New Roman"/>
      <w:i/>
      <w:sz w:val="24"/>
      <w:szCs w:val="20"/>
      <w:lang w:val="en-GB" w:eastAsia="nl-NL"/>
    </w:rPr>
  </w:style>
  <w:style w:type="paragraph" w:customStyle="1" w:styleId="PaperTitle">
    <w:name w:val="Paper Title"/>
    <w:basedOn w:val="Normal"/>
    <w:next w:val="Author"/>
    <w:autoRedefine/>
    <w:rsid w:val="00620912"/>
    <w:pPr>
      <w:spacing w:before="1920" w:after="500"/>
      <w:jc w:val="center"/>
    </w:pPr>
    <w:rPr>
      <w:b/>
      <w:caps/>
      <w:sz w:val="28"/>
    </w:rPr>
  </w:style>
  <w:style w:type="paragraph" w:customStyle="1" w:styleId="Author">
    <w:name w:val="Author"/>
    <w:basedOn w:val="BodyText1"/>
    <w:next w:val="Address"/>
    <w:rsid w:val="00620912"/>
    <w:pPr>
      <w:pBdr>
        <w:top w:val="single" w:sz="4" w:space="24" w:color="FFFFFF"/>
        <w:left w:val="single" w:sz="4" w:space="4" w:color="FFFFFF"/>
        <w:bottom w:val="single" w:sz="4" w:space="1" w:color="FFFFFF"/>
        <w:right w:val="single" w:sz="4" w:space="4" w:color="FFFFFF"/>
      </w:pBdr>
      <w:ind w:firstLine="0"/>
    </w:pPr>
  </w:style>
  <w:style w:type="paragraph" w:customStyle="1" w:styleId="BodyText1">
    <w:name w:val="Body Text1"/>
    <w:basedOn w:val="Normal"/>
    <w:rsid w:val="00620912"/>
    <w:pPr>
      <w:pBdr>
        <w:top w:val="single" w:sz="12" w:space="12" w:color="FFFFFF"/>
        <w:left w:val="single" w:sz="12" w:space="4" w:color="FFFFFF"/>
        <w:bottom w:val="single" w:sz="12" w:space="1" w:color="FFFFFF"/>
        <w:right w:val="single" w:sz="12" w:space="4" w:color="FFFFFF"/>
      </w:pBdr>
      <w:ind w:firstLine="284"/>
      <w:jc w:val="both"/>
    </w:pPr>
    <w:rPr>
      <w:sz w:val="24"/>
    </w:rPr>
  </w:style>
  <w:style w:type="paragraph" w:customStyle="1" w:styleId="Address">
    <w:name w:val="Address"/>
    <w:basedOn w:val="BodyText1"/>
    <w:next w:val="Abstract"/>
    <w:rsid w:val="00620912"/>
    <w:pPr>
      <w:pBdr>
        <w:top w:val="single" w:sz="24" w:space="24" w:color="FFFFFF"/>
        <w:left w:val="single" w:sz="24" w:space="4" w:color="FFFFFF"/>
        <w:bottom w:val="single" w:sz="24" w:space="1" w:color="FFFFFF"/>
        <w:right w:val="single" w:sz="24" w:space="4" w:color="FFFFFF"/>
      </w:pBdr>
      <w:ind w:firstLine="0"/>
    </w:pPr>
  </w:style>
  <w:style w:type="paragraph" w:customStyle="1" w:styleId="Abstract">
    <w:name w:val="Abstract"/>
    <w:basedOn w:val="BodyText1"/>
    <w:next w:val="SectionHeading"/>
    <w:rsid w:val="00620912"/>
    <w:pPr>
      <w:pBdr>
        <w:top w:val="single" w:sz="8" w:space="24" w:color="FFFFFF"/>
        <w:left w:val="single" w:sz="8" w:space="4" w:color="FFFFFF"/>
        <w:bottom w:val="single" w:sz="8" w:space="1" w:color="FFFFFF"/>
        <w:right w:val="single" w:sz="8" w:space="4" w:color="FFFFFF"/>
      </w:pBdr>
      <w:ind w:firstLine="0"/>
    </w:pPr>
    <w:rPr>
      <w:i/>
    </w:rPr>
  </w:style>
  <w:style w:type="paragraph" w:customStyle="1" w:styleId="SectionHeading">
    <w:name w:val="Section Heading"/>
    <w:next w:val="Normal"/>
    <w:rsid w:val="00620912"/>
    <w:pPr>
      <w:widowControl w:val="0"/>
      <w:numPr>
        <w:numId w:val="3"/>
      </w:numPr>
      <w:pBdr>
        <w:top w:val="single" w:sz="12" w:space="24" w:color="FFFFFF"/>
        <w:left w:val="single" w:sz="12" w:space="4" w:color="FFFFFF"/>
        <w:bottom w:val="single" w:sz="12" w:space="1" w:color="FFFFFF"/>
        <w:right w:val="single" w:sz="12" w:space="4" w:color="FFFFFF"/>
      </w:pBdr>
      <w:spacing w:after="0" w:line="240" w:lineRule="auto"/>
      <w:outlineLvl w:val="0"/>
    </w:pPr>
    <w:rPr>
      <w:rFonts w:ascii="Times New Roman" w:eastAsia="Times New Roman" w:hAnsi="Times New Roman" w:cs="Times New Roman"/>
      <w:b/>
      <w:caps/>
      <w:sz w:val="24"/>
      <w:szCs w:val="20"/>
      <w:lang w:val="en-GB" w:eastAsia="nl-NL"/>
    </w:rPr>
  </w:style>
  <w:style w:type="paragraph" w:customStyle="1" w:styleId="BibliographyHeading">
    <w:name w:val="Bibliography Heading"/>
    <w:basedOn w:val="BodyText1"/>
    <w:rsid w:val="00620912"/>
    <w:pPr>
      <w:pBdr>
        <w:top w:val="single" w:sz="8" w:space="24" w:color="FFFFFF"/>
        <w:left w:val="single" w:sz="8" w:space="4" w:color="FFFFFF"/>
        <w:bottom w:val="single" w:sz="8" w:space="1" w:color="FFFFFF"/>
        <w:right w:val="single" w:sz="8" w:space="4" w:color="FFFFFF"/>
      </w:pBdr>
      <w:ind w:firstLine="0"/>
    </w:pPr>
    <w:rPr>
      <w:b/>
      <w:caps/>
    </w:rPr>
  </w:style>
  <w:style w:type="paragraph" w:styleId="Bibliography">
    <w:name w:val="Bibliography"/>
    <w:basedOn w:val="BodyText1"/>
    <w:rsid w:val="00620912"/>
    <w:pPr>
      <w:tabs>
        <w:tab w:val="num" w:pos="360"/>
      </w:tabs>
      <w:ind w:left="360" w:hanging="360"/>
    </w:pPr>
  </w:style>
  <w:style w:type="paragraph" w:customStyle="1" w:styleId="SubsubsectionHeading">
    <w:name w:val="Subsubsection Heading"/>
    <w:basedOn w:val="Normal"/>
    <w:next w:val="BodyText1"/>
    <w:autoRedefine/>
    <w:rsid w:val="00620912"/>
    <w:pPr>
      <w:numPr>
        <w:numId w:val="2"/>
      </w:numPr>
      <w:pBdr>
        <w:top w:val="single" w:sz="12" w:space="12" w:color="FFFFFF"/>
        <w:left w:val="single" w:sz="12" w:space="4" w:color="FFFFFF"/>
        <w:bottom w:val="single" w:sz="12" w:space="1" w:color="FFFFFF"/>
        <w:right w:val="single" w:sz="12" w:space="4" w:color="FFFFFF"/>
      </w:pBdr>
      <w:tabs>
        <w:tab w:val="clear" w:pos="360"/>
        <w:tab w:val="num" w:pos="1440"/>
      </w:tabs>
      <w:ind w:left="1224" w:hanging="504"/>
      <w:jc w:val="both"/>
      <w:outlineLvl w:val="2"/>
    </w:pPr>
    <w:rPr>
      <w:b/>
      <w:sz w:val="24"/>
    </w:rPr>
  </w:style>
  <w:style w:type="paragraph" w:customStyle="1" w:styleId="Keywords">
    <w:name w:val="Keywords"/>
    <w:basedOn w:val="Abstract"/>
    <w:next w:val="Abstract"/>
    <w:rsid w:val="00620912"/>
    <w:pPr>
      <w:numPr>
        <w:ilvl w:val="1"/>
        <w:numId w:val="2"/>
      </w:numPr>
      <w:tabs>
        <w:tab w:val="clear" w:pos="1080"/>
      </w:tabs>
      <w:spacing w:before="480" w:after="480"/>
      <w:ind w:left="0" w:firstLine="0"/>
    </w:pPr>
  </w:style>
  <w:style w:type="paragraph" w:customStyle="1" w:styleId="AnnexeHeading">
    <w:name w:val="Annexe Heading"/>
    <w:basedOn w:val="BibliographyHeading"/>
    <w:rsid w:val="00620912"/>
  </w:style>
  <w:style w:type="paragraph" w:customStyle="1" w:styleId="AnnexeSection">
    <w:name w:val="Annexe Section"/>
    <w:basedOn w:val="SectionHeading"/>
    <w:rsid w:val="00620912"/>
    <w:pPr>
      <w:numPr>
        <w:numId w:val="1"/>
      </w:numPr>
      <w:tabs>
        <w:tab w:val="clear" w:pos="360"/>
        <w:tab w:val="num" w:pos="720"/>
      </w:tabs>
    </w:pPr>
  </w:style>
  <w:style w:type="paragraph" w:customStyle="1" w:styleId="AnnexeSubsection">
    <w:name w:val="Annexe Subsection"/>
    <w:basedOn w:val="Normal"/>
    <w:rsid w:val="00620912"/>
    <w:pPr>
      <w:numPr>
        <w:ilvl w:val="2"/>
        <w:numId w:val="2"/>
      </w:numPr>
      <w:pBdr>
        <w:top w:val="single" w:sz="8" w:space="24" w:color="FFFFFF"/>
        <w:left w:val="single" w:sz="8" w:space="4" w:color="FFFFFF"/>
        <w:bottom w:val="single" w:sz="8" w:space="1" w:color="FFFFFF"/>
        <w:right w:val="single" w:sz="8" w:space="4" w:color="FFFFFF"/>
      </w:pBdr>
      <w:tabs>
        <w:tab w:val="clear" w:pos="1440"/>
        <w:tab w:val="num" w:pos="1080"/>
      </w:tabs>
      <w:ind w:left="792" w:hanging="432"/>
      <w:jc w:val="both"/>
    </w:pPr>
    <w:rPr>
      <w:b/>
      <w:sz w:val="24"/>
    </w:rPr>
  </w:style>
  <w:style w:type="paragraph" w:customStyle="1" w:styleId="Contactauthor">
    <w:name w:val="Contact author"/>
    <w:basedOn w:val="Address"/>
    <w:rsid w:val="00620912"/>
    <w:pPr>
      <w:spacing w:before="480"/>
      <w:contextualSpacing/>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457391">
      <w:bodyDiv w:val="1"/>
      <w:marLeft w:val="0"/>
      <w:marRight w:val="0"/>
      <w:marTop w:val="0"/>
      <w:marBottom w:val="0"/>
      <w:divBdr>
        <w:top w:val="none" w:sz="0" w:space="0" w:color="auto"/>
        <w:left w:val="none" w:sz="0" w:space="0" w:color="auto"/>
        <w:bottom w:val="none" w:sz="0" w:space="0" w:color="auto"/>
        <w:right w:val="none" w:sz="0" w:space="0" w:color="auto"/>
      </w:divBdr>
    </w:div>
    <w:div w:id="363798064">
      <w:bodyDiv w:val="1"/>
      <w:marLeft w:val="0"/>
      <w:marRight w:val="0"/>
      <w:marTop w:val="0"/>
      <w:marBottom w:val="0"/>
      <w:divBdr>
        <w:top w:val="none" w:sz="0" w:space="0" w:color="auto"/>
        <w:left w:val="none" w:sz="0" w:space="0" w:color="auto"/>
        <w:bottom w:val="none" w:sz="0" w:space="0" w:color="auto"/>
        <w:right w:val="none" w:sz="0" w:space="0" w:color="auto"/>
      </w:divBdr>
    </w:div>
    <w:div w:id="378286659">
      <w:bodyDiv w:val="1"/>
      <w:marLeft w:val="0"/>
      <w:marRight w:val="0"/>
      <w:marTop w:val="0"/>
      <w:marBottom w:val="0"/>
      <w:divBdr>
        <w:top w:val="none" w:sz="0" w:space="0" w:color="auto"/>
        <w:left w:val="none" w:sz="0" w:space="0" w:color="auto"/>
        <w:bottom w:val="none" w:sz="0" w:space="0" w:color="auto"/>
        <w:right w:val="none" w:sz="0" w:space="0" w:color="auto"/>
      </w:divBdr>
    </w:div>
    <w:div w:id="495614203">
      <w:bodyDiv w:val="1"/>
      <w:marLeft w:val="0"/>
      <w:marRight w:val="0"/>
      <w:marTop w:val="0"/>
      <w:marBottom w:val="0"/>
      <w:divBdr>
        <w:top w:val="none" w:sz="0" w:space="0" w:color="auto"/>
        <w:left w:val="none" w:sz="0" w:space="0" w:color="auto"/>
        <w:bottom w:val="none" w:sz="0" w:space="0" w:color="auto"/>
        <w:right w:val="none" w:sz="0" w:space="0" w:color="auto"/>
      </w:divBdr>
    </w:div>
    <w:div w:id="815031768">
      <w:bodyDiv w:val="1"/>
      <w:marLeft w:val="0"/>
      <w:marRight w:val="0"/>
      <w:marTop w:val="0"/>
      <w:marBottom w:val="0"/>
      <w:divBdr>
        <w:top w:val="none" w:sz="0" w:space="0" w:color="auto"/>
        <w:left w:val="none" w:sz="0" w:space="0" w:color="auto"/>
        <w:bottom w:val="none" w:sz="0" w:space="0" w:color="auto"/>
        <w:right w:val="none" w:sz="0" w:space="0" w:color="auto"/>
      </w:divBdr>
    </w:div>
    <w:div w:id="1372994538">
      <w:bodyDiv w:val="1"/>
      <w:marLeft w:val="0"/>
      <w:marRight w:val="0"/>
      <w:marTop w:val="0"/>
      <w:marBottom w:val="0"/>
      <w:divBdr>
        <w:top w:val="none" w:sz="0" w:space="0" w:color="auto"/>
        <w:left w:val="none" w:sz="0" w:space="0" w:color="auto"/>
        <w:bottom w:val="none" w:sz="0" w:space="0" w:color="auto"/>
        <w:right w:val="none" w:sz="0" w:space="0" w:color="auto"/>
      </w:divBdr>
    </w:div>
    <w:div w:id="1898203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wmf"/><Relationship Id="rId18"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wmf"/><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wmf"/><Relationship Id="rId24" Type="http://schemas.openxmlformats.org/officeDocument/2006/relationships/fontTable" Target="fontTable.xml"/><Relationship Id="rId5" Type="http://schemas.openxmlformats.org/officeDocument/2006/relationships/image" Target="media/image1.wmf"/><Relationship Id="rId15" Type="http://schemas.openxmlformats.org/officeDocument/2006/relationships/image" Target="media/image6.wmf"/><Relationship Id="rId23" Type="http://schemas.openxmlformats.org/officeDocument/2006/relationships/image" Target="media/image12.png"/><Relationship Id="rId10" Type="http://schemas.openxmlformats.org/officeDocument/2006/relationships/oleObject" Target="embeddings/oleObject3.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656</TotalTime>
  <Pages>8</Pages>
  <Words>2111</Words>
  <Characters>12033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Auvinen</dc:creator>
  <cp:keywords/>
  <dc:description/>
  <cp:lastModifiedBy>Matthew Auvinen</cp:lastModifiedBy>
  <cp:revision>348</cp:revision>
  <cp:lastPrinted>2017-07-05T15:07:00Z</cp:lastPrinted>
  <dcterms:created xsi:type="dcterms:W3CDTF">2017-06-22T16:49:00Z</dcterms:created>
  <dcterms:modified xsi:type="dcterms:W3CDTF">2017-07-06T14:47:00Z</dcterms:modified>
</cp:coreProperties>
</file>