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6B68" w14:textId="2E138553" w:rsidR="00F57220" w:rsidRDefault="008A6A52">
      <w:r>
        <w:t>The Value of Information in Longevity Biomarkers</w:t>
      </w:r>
    </w:p>
    <w:p w14:paraId="0518FB52" w14:textId="526775F5" w:rsidR="008A6A52" w:rsidRDefault="008A6A52" w:rsidP="00A954F7">
      <w:pPr>
        <w:pStyle w:val="Heading1"/>
      </w:pPr>
      <w:r>
        <w:t>Abstract</w:t>
      </w:r>
    </w:p>
    <w:p w14:paraId="7BD5B076" w14:textId="033DE3C9" w:rsidR="008A6A52" w:rsidRDefault="0001408F">
      <w:r>
        <w:t>Non-invasive</w:t>
      </w:r>
      <w:r w:rsidR="001E085C">
        <w:t xml:space="preserve"> biomarkers for use in general longevity, i.e. not for the diagnosis of a </w:t>
      </w:r>
      <w:r>
        <w:t>disease</w:t>
      </w:r>
      <w:r w:rsidR="001E085C">
        <w:t>, are</w:t>
      </w:r>
      <w:r w:rsidR="00962819">
        <w:t xml:space="preserve"> increasingly common. Consumer interest in biomarkers has been piqued, and significant funding has entered gerontology</w:t>
      </w:r>
      <w:r w:rsidR="00C830A4">
        <w:t xml:space="preserve">. This does mark a departure </w:t>
      </w:r>
      <w:r w:rsidR="007808A2">
        <w:t>from</w:t>
      </w:r>
      <w:r w:rsidR="00C830A4">
        <w:t xml:space="preserve"> typical investments, following specific </w:t>
      </w:r>
      <w:r>
        <w:t>infirmities</w:t>
      </w:r>
      <w:r w:rsidR="00C830A4">
        <w:t xml:space="preserve">. </w:t>
      </w:r>
    </w:p>
    <w:p w14:paraId="4C8FE2B1" w14:textId="77777777" w:rsidR="00121B99" w:rsidRDefault="00121B99"/>
    <w:p w14:paraId="4874E617" w14:textId="77777777" w:rsidR="00121B99" w:rsidRDefault="00121B99"/>
    <w:p w14:paraId="2803B4A5" w14:textId="6884A30D" w:rsidR="00121B99" w:rsidRDefault="00121B99" w:rsidP="00A954F7">
      <w:pPr>
        <w:pStyle w:val="Heading1"/>
      </w:pPr>
      <w:r>
        <w:t>Introduction</w:t>
      </w:r>
    </w:p>
    <w:p w14:paraId="403C03D3" w14:textId="7906081B" w:rsidR="00121B99" w:rsidRDefault="00121B99">
      <w:r>
        <w:t xml:space="preserve">Biomarkers can provide useful health information to the user. </w:t>
      </w:r>
      <w:r w:rsidR="008D6ACA">
        <w:t xml:space="preserve">A significant consumer market around </w:t>
      </w:r>
      <w:r w:rsidR="0001408F">
        <w:t>biomarkers</w:t>
      </w:r>
      <w:r w:rsidR="008D6ACA">
        <w:t xml:space="preserve"> has emerged, including labs, at home test kits, </w:t>
      </w:r>
      <w:r w:rsidR="0097120D">
        <w:t xml:space="preserve">which either provide a result to the user directly, </w:t>
      </w:r>
      <w:r w:rsidR="0001408F">
        <w:t>or</w:t>
      </w:r>
      <w:r w:rsidR="0097120D">
        <w:t xml:space="preserve"> the user sends a sample to the lab. </w:t>
      </w:r>
      <w:r w:rsidR="0077112E">
        <w:t>This market has seen significant growth in the past decade</w:t>
      </w:r>
      <w:r w:rsidR="00EC2AA5">
        <w:t xml:space="preserve">. </w:t>
      </w:r>
    </w:p>
    <w:p w14:paraId="3C61371F" w14:textId="0AA61F86" w:rsidR="00EC2AA5" w:rsidRDefault="00EC2AA5">
      <w:r>
        <w:t xml:space="preserve">The tests can be differentiated based on the time </w:t>
      </w:r>
      <w:r w:rsidR="0001408F">
        <w:t>horizon</w:t>
      </w:r>
      <w:r>
        <w:t xml:space="preserve"> </w:t>
      </w:r>
      <w:r w:rsidR="0001408F">
        <w:t>of</w:t>
      </w:r>
      <w:r>
        <w:t xml:space="preserve"> the results. </w:t>
      </w:r>
      <w:r w:rsidR="006540AB">
        <w:t xml:space="preserve">From acute to long term. Furthermore, there is also a shift away from biomarkers in the </w:t>
      </w:r>
      <w:r w:rsidR="0001408F">
        <w:t>diagnosis</w:t>
      </w:r>
      <w:r w:rsidR="006540AB">
        <w:t xml:space="preserve"> and treatment of disease </w:t>
      </w:r>
      <w:r w:rsidR="0001408F">
        <w:t>towards</w:t>
      </w:r>
      <w:r w:rsidR="006540AB">
        <w:t xml:space="preserve"> optimization </w:t>
      </w:r>
      <w:r w:rsidR="0001408F">
        <w:t>in t</w:t>
      </w:r>
      <w:r w:rsidR="006540AB">
        <w:t xml:space="preserve">he absence of clinical illness. </w:t>
      </w:r>
      <w:r w:rsidR="00DA1188">
        <w:t>The biomarkers are accompanied by increasingly available information on interventions, typically dietary, lifestyle, and supplements</w:t>
      </w:r>
      <w:r w:rsidR="00E068E6">
        <w:t xml:space="preserve">, that can act o nt eh biomarker of interest. </w:t>
      </w:r>
    </w:p>
    <w:p w14:paraId="3D2FCBEA" w14:textId="7855998D" w:rsidR="00E068E6" w:rsidRDefault="00E068E6">
      <w:r>
        <w:t>This can often occur outside of medical supervision</w:t>
      </w:r>
      <w:r w:rsidR="00C13A21">
        <w:t xml:space="preserve">. The use of biomarkers, as with most commercial adoption, was initially spearheaded by early adopters, typically </w:t>
      </w:r>
      <w:r w:rsidR="0001408F">
        <w:t>biohackers</w:t>
      </w:r>
      <w:r w:rsidR="00C13A21">
        <w:t xml:space="preserve"> </w:t>
      </w:r>
      <w:r w:rsidR="00F13B56">
        <w:t xml:space="preserve">or people with a supernormal interest in physiology, such as bodybuilders, athletes or </w:t>
      </w:r>
      <w:r w:rsidR="00635CF4">
        <w:t>people seeking to improve their cognitive performance. Given the interest, significant self-experimentation, occasionally documented, published, and discussed in forums</w:t>
      </w:r>
      <w:r w:rsidR="002938D5">
        <w:t xml:space="preserve"> has taken place. </w:t>
      </w:r>
    </w:p>
    <w:p w14:paraId="1C20A9B2" w14:textId="24AB965B" w:rsidR="002938D5" w:rsidRDefault="002938D5">
      <w:r>
        <w:t xml:space="preserve">Tests such as testosterone have become far more widespread, owing to </w:t>
      </w:r>
      <w:r w:rsidR="00A94FB0">
        <w:t xml:space="preserve">elevated interest </w:t>
      </w:r>
      <w:r w:rsidR="000B50E8">
        <w:t xml:space="preserve"> in the health </w:t>
      </w:r>
      <w:r w:rsidR="007B59AC">
        <w:t xml:space="preserve">implications of endocrine regulation </w:t>
      </w:r>
      <w:r w:rsidR="00A94FB0">
        <w:t xml:space="preserve">and awareness of environmental </w:t>
      </w:r>
      <w:r w:rsidR="000B50E8">
        <w:t xml:space="preserve">influences </w:t>
      </w:r>
      <w:r w:rsidR="003839CF">
        <w:fldChar w:fldCharType="begin"/>
      </w:r>
      <w:r w:rsidR="003839CF">
        <w:instrText xml:space="preserve"> ADDIN ZOTERO_ITEM CSL_CITATION {"citationID":"u6u0mgSl","properties":{"unsorted":false,"formattedCitation":"(1)","plainCitation":"(1)","noteIndex":0},"citationItems":[{"id":425,"uris":["http://zotero.org/users/local/Oz67iTD5/items/7BCKRQSE"],"itemData":{"id":425,"type":"article-journal","abstract":"Endocrine-disrupting chemicals (EDCs) represent a heterogeneous category of environmental pollutants that may disrupt hormonal pathways of signaling in human beings and wildlife, resulting in poor reproductive, metabolic, developmental, and immunological outcomes. Earlier warnings in Silent Spring and the historic Wingspread Conference have since been proven right when evidence continued to mount that daily exposure to EDCs was reached via air, water, food, consumer products, and work environments. This review synthesizes existing evidence on the most common endocrine disruptors such as atrazine, bisphenol A, dioxins, perchlorate, per- and polyfluoroalkyl, phthalates, triclosan, polybrominated diphenyl ethers, and heavy metals. Exposure pathways, environmental levels, regulatory standards, molecular pathways of endocrine disruption, and health outcomes are critically analyzed for each compound or chemical group. It specifically focuses on endocrine targets, including the regulation of thyroid hormones, reproductive hormones, metabolic pathways, and developmental processes, which are combined using the results of experimental, epidemiological, and meta-analysis studies. As mechanistic evidence consistently confirms endocrine-disrupting potential, human population data are often heterogeneous, characterized by variability in exposure assessment, dose–response relationship, co-exposures, and biological susceptibility. Moreover, this review compares the existing remediation methods, such as physical, chemical, biological, and nature-based, pointing out their effectiveness, limitations, and applicability to environmental matrices. Altogether, the study results indicate the ongoing social health applicability of EDCs and the necessity of combined regulatory strategies, better exposure characterization, and enhanced remediation technologies to reduce long-term endocrine and ecological risks.","container-title":"Environmental Toxicology","DOI":"10.1002/tox.70066","ISSN":"1522-7278","issue":"n/a","language":"en","license":"© 2026 Wiley Periodicals LLC.","source":"Wiley Online Library","title":"Overview of the Most Common Endocrine Disruptors: Exposure, Mechanism, Health Effects, and Remediation Strategies","title-short":"Overview of the Most Common Endocrine Disruptors","URL":"https://onlinelibrary.wiley.com/doi/abs/10.1002/tox.70066","volume":"n/a","author":[{"family":"Gracidas","given":"Carlos"},{"family":"Selem","given":"Edgar"},{"family":"Anyiam","given":"Ngozi Donald"},{"family":"Fertig","given":"Brian"},{"family":"Varon","given":"Joseph"},{"family":"Halma","given":"Matthew"}],"accessed":{"date-parts":[["2026",9,9]]}}}],"schema":"https://github.com/citation-style-language/schema/raw/master/csl-citation.json"} </w:instrText>
      </w:r>
      <w:r w:rsidR="003839CF">
        <w:fldChar w:fldCharType="separate"/>
      </w:r>
      <w:r w:rsidR="003839CF" w:rsidRPr="003839CF">
        <w:rPr>
          <w:rFonts w:ascii="Aptos" w:hAnsi="Aptos"/>
        </w:rPr>
        <w:t>(1)</w:t>
      </w:r>
      <w:r w:rsidR="003839CF">
        <w:fldChar w:fldCharType="end"/>
      </w:r>
      <w:r w:rsidR="000B50E8">
        <w:t xml:space="preserve">. </w:t>
      </w:r>
      <w:r w:rsidR="008E4086">
        <w:t>Testosterone tests, while before difficult to find, have become a mainstay of many integrative biomarker panels</w:t>
      </w:r>
      <w:r w:rsidR="00C62174">
        <w:t xml:space="preserve">. </w:t>
      </w:r>
      <w:r w:rsidR="00443FFE">
        <w:t xml:space="preserve">While the accuracy of any given test model and the efficacy of proposed interventions may vary, the general approach is </w:t>
      </w:r>
      <w:r w:rsidR="00B77AC6">
        <w:t xml:space="preserve">sound: measurement, typically at an early stage, before disease onset, and efforts made to optimize the value. </w:t>
      </w:r>
      <w:r w:rsidR="00295423">
        <w:t xml:space="preserve">Optionally, one may retest after attempting </w:t>
      </w:r>
      <w:r w:rsidR="001D3E27">
        <w:t xml:space="preserve">one or (typically) several interventions. </w:t>
      </w:r>
    </w:p>
    <w:p w14:paraId="1C9071D8" w14:textId="60ED7994" w:rsidR="00D2715B" w:rsidRDefault="00D2715B">
      <w:r>
        <w:lastRenderedPageBreak/>
        <w:t xml:space="preserve">Importantly, much of the guidance takes place outside of the medical system, either </w:t>
      </w:r>
      <w:r w:rsidR="0001408F">
        <w:t>through</w:t>
      </w:r>
      <w:r>
        <w:t xml:space="preserve"> </w:t>
      </w:r>
      <w:r w:rsidR="0001408F">
        <w:t>the parallel</w:t>
      </w:r>
      <w:r>
        <w:t xml:space="preserve"> health coaching ecosystem</w:t>
      </w:r>
      <w:r w:rsidR="00D36B43">
        <w:t xml:space="preserve">, or even performed informally through </w:t>
      </w:r>
      <w:r w:rsidR="0001408F">
        <w:t>self-tracking</w:t>
      </w:r>
      <w:r w:rsidR="00D36B43">
        <w:t xml:space="preserve">. This </w:t>
      </w:r>
      <w:r w:rsidR="00D97F91">
        <w:t>‘hobbyist’ orientation may skirt medical regulation</w:t>
      </w:r>
      <w:r w:rsidR="002A4E61">
        <w:t>. Individuals interested in biohacking can vary significantly with their appetite for risk</w:t>
      </w:r>
      <w:r w:rsidR="00C0318B">
        <w:t xml:space="preserve">, and actual risk can vary significantly between </w:t>
      </w:r>
      <w:r w:rsidR="00F6151C">
        <w:t xml:space="preserve">well tested interventions (drink more water) to supplements, to untested </w:t>
      </w:r>
      <w:r w:rsidR="004B10A5">
        <w:t xml:space="preserve">black or gray market peptides. </w:t>
      </w:r>
    </w:p>
    <w:p w14:paraId="56BFA3DE" w14:textId="43F2BEE8" w:rsidR="009F537E" w:rsidRDefault="00D177DB">
      <w:r>
        <w:t xml:space="preserve">Biomarkers can vary significantly on their accessibility, cost and possible frequency of testing. Innovations such as the continuous glucose monitor took </w:t>
      </w:r>
      <w:r w:rsidR="00262FF8">
        <w:t xml:space="preserve">blood glucose measurement from a discrete </w:t>
      </w:r>
      <w:r w:rsidR="0001408F">
        <w:t>event,</w:t>
      </w:r>
      <w:r w:rsidR="00262FF8">
        <w:t xml:space="preserve"> </w:t>
      </w:r>
      <w:r w:rsidR="0001408F">
        <w:t>often</w:t>
      </w:r>
      <w:r w:rsidR="00262FF8">
        <w:t xml:space="preserve"> requiring travel to a hospital, to a handheld device that could take discrete measurements, to a </w:t>
      </w:r>
      <w:r w:rsidR="00777057">
        <w:t xml:space="preserve">continuous glucose measurement which can provide real time measurements. </w:t>
      </w:r>
      <w:r w:rsidR="0001408F">
        <w:t>Furthermore</w:t>
      </w:r>
      <w:r w:rsidR="00027918">
        <w:t xml:space="preserve">, wearables can also measure parameters like heart rate (HR) and heart rate </w:t>
      </w:r>
      <w:r w:rsidR="0001408F">
        <w:t>variability</w:t>
      </w:r>
      <w:r w:rsidR="00027918">
        <w:t xml:space="preserve"> (HRV) </w:t>
      </w:r>
      <w:r w:rsidR="0001408F">
        <w:t>on</w:t>
      </w:r>
      <w:r w:rsidR="00027918">
        <w:t xml:space="preserve"> a continuous basis, and automatically log </w:t>
      </w:r>
      <w:r w:rsidR="008B24F2">
        <w:t>it as long as the user wears the device, which many do almost 24/7</w:t>
      </w:r>
      <w:r w:rsidR="00734D5C">
        <w:t xml:space="preserve">. </w:t>
      </w:r>
    </w:p>
    <w:p w14:paraId="559F580E" w14:textId="1B344E46" w:rsidR="00474C45" w:rsidRDefault="009F537E" w:rsidP="003B597C">
      <w:pPr>
        <w:jc w:val="both"/>
      </w:pPr>
      <w:r>
        <w:t xml:space="preserve">These </w:t>
      </w:r>
      <w:r w:rsidR="0001408F">
        <w:t>combined</w:t>
      </w:r>
      <w:r>
        <w:t xml:space="preserve"> measurements provide rich health data which can be used for optimization.</w:t>
      </w:r>
      <w:r w:rsidR="00B502FD">
        <w:t xml:space="preserve"> While the cost of many tests has decreased, it is still nonzero. This analysis provides a value of information (VOI) framework for assessing the return of investment on a given biomarker test, to identify high value biomarker measurements for</w:t>
      </w:r>
      <w:r w:rsidR="003B597C">
        <w:t xml:space="preserve"> the general population and specific cohorts.</w:t>
      </w:r>
      <w:r w:rsidR="00204C68">
        <w:t xml:space="preserve"> This health economics analysis helps to </w:t>
      </w:r>
      <w:r w:rsidR="0001408F">
        <w:t>appropriately</w:t>
      </w:r>
      <w:r w:rsidR="00204C68">
        <w:t xml:space="preserve"> assess whether biomarker measurements should, or under what conditions they should be incorporated into </w:t>
      </w:r>
      <w:r w:rsidR="00C83FB2">
        <w:t xml:space="preserve">health plans, whether public or private. </w:t>
      </w:r>
    </w:p>
    <w:p w14:paraId="72DB1FB0" w14:textId="4DDA2668" w:rsidR="00777057" w:rsidRDefault="00B02996" w:rsidP="00A954F7">
      <w:pPr>
        <w:pStyle w:val="Heading2"/>
      </w:pPr>
      <w:r>
        <w:t>Biomarkers and Mortality Associations</w:t>
      </w:r>
    </w:p>
    <w:p w14:paraId="3C8F8393" w14:textId="683C2367" w:rsidR="00683D6A" w:rsidRDefault="008C718A" w:rsidP="003B597C">
      <w:pPr>
        <w:jc w:val="both"/>
        <w:rPr>
          <w:sz w:val="22"/>
          <w:szCs w:val="22"/>
        </w:rPr>
      </w:pPr>
      <w:r>
        <w:t xml:space="preserve">In the entirety of medicine, there are a wide variety of measurements which can provide clinical value </w:t>
      </w:r>
      <w:r w:rsidR="0001408F">
        <w:t>depending</w:t>
      </w:r>
      <w:r>
        <w:t xml:space="preserve"> on the circumstances. Some of these are particular to a </w:t>
      </w:r>
      <w:r w:rsidR="0001408F">
        <w:t>disease, a</w:t>
      </w:r>
      <w:r w:rsidR="00914462">
        <w:t xml:space="preserve">nd may not be associated with general longevity. </w:t>
      </w:r>
      <w:r w:rsidR="00873537">
        <w:t xml:space="preserve">In cases where a biomarker is generally associated with longevity, this may be a useful biomarker for the general </w:t>
      </w:r>
      <w:r w:rsidR="00873537">
        <w:rPr>
          <w:i/>
          <w:iCs/>
        </w:rPr>
        <w:t xml:space="preserve">healthy </w:t>
      </w:r>
      <w:r w:rsidR="00873537">
        <w:t>population to optimize</w:t>
      </w:r>
      <w:r w:rsidR="00E201A2">
        <w:t>.</w:t>
      </w:r>
      <w:r w:rsidR="00E201A2">
        <w:rPr>
          <w:sz w:val="22"/>
          <w:szCs w:val="22"/>
        </w:rPr>
        <w:t xml:space="preserve"> Existing work has characterized all-cause mortality (ACM) associated </w:t>
      </w:r>
      <w:r w:rsidR="0001408F">
        <w:rPr>
          <w:sz w:val="22"/>
          <w:szCs w:val="22"/>
        </w:rPr>
        <w:t>biomarkers</w:t>
      </w:r>
      <w:r w:rsidR="00E201A2">
        <w:rPr>
          <w:sz w:val="22"/>
          <w:szCs w:val="22"/>
        </w:rPr>
        <w:t>. ACM is a useful measure of general health</w:t>
      </w:r>
      <w:r w:rsidR="00CA0104">
        <w:rPr>
          <w:sz w:val="22"/>
          <w:szCs w:val="22"/>
        </w:rPr>
        <w:t xml:space="preserve">, as most people would prefer to live longer rather than shorter, and lifespan is </w:t>
      </w:r>
      <w:r w:rsidR="009B3358">
        <w:rPr>
          <w:sz w:val="22"/>
          <w:szCs w:val="22"/>
        </w:rPr>
        <w:t xml:space="preserve">associated with good health during one’s lifespan, which typically is referred to by the concept of healthspan, which is the duration of </w:t>
      </w:r>
      <w:r w:rsidR="0001408F">
        <w:rPr>
          <w:sz w:val="22"/>
          <w:szCs w:val="22"/>
        </w:rPr>
        <w:t>disease-free</w:t>
      </w:r>
      <w:r w:rsidR="009B3358">
        <w:rPr>
          <w:sz w:val="22"/>
          <w:szCs w:val="22"/>
        </w:rPr>
        <w:t xml:space="preserve"> life.</w:t>
      </w:r>
      <w:r w:rsidR="00AB3A10">
        <w:rPr>
          <w:sz w:val="22"/>
          <w:szCs w:val="22"/>
        </w:rPr>
        <w:t xml:space="preserve"> </w:t>
      </w:r>
    </w:p>
    <w:p w14:paraId="02EF7EB0" w14:textId="252DD2FD" w:rsidR="003469AC" w:rsidRDefault="00683D6A" w:rsidP="003B597C">
      <w:pPr>
        <w:jc w:val="both"/>
        <w:rPr>
          <w:sz w:val="22"/>
          <w:szCs w:val="22"/>
        </w:rPr>
      </w:pPr>
      <w:r>
        <w:rPr>
          <w:sz w:val="22"/>
          <w:szCs w:val="22"/>
        </w:rPr>
        <w:t xml:space="preserve">Most health economics framings implicitly accept this view through use of </w:t>
      </w:r>
      <w:r w:rsidR="0001408F">
        <w:rPr>
          <w:sz w:val="22"/>
          <w:szCs w:val="22"/>
        </w:rPr>
        <w:t>disability</w:t>
      </w:r>
      <w:r>
        <w:rPr>
          <w:sz w:val="22"/>
          <w:szCs w:val="22"/>
        </w:rPr>
        <w:t xml:space="preserve"> or quality adjusted life year (DALY or QALY) as a </w:t>
      </w:r>
      <w:r w:rsidR="0055324A">
        <w:rPr>
          <w:sz w:val="22"/>
          <w:szCs w:val="22"/>
        </w:rPr>
        <w:t xml:space="preserve">measure to optimize with various interventions or policies. In public health, even a </w:t>
      </w:r>
      <w:r w:rsidR="0001408F">
        <w:rPr>
          <w:sz w:val="22"/>
          <w:szCs w:val="22"/>
        </w:rPr>
        <w:t>modest</w:t>
      </w:r>
      <w:r w:rsidR="0055324A">
        <w:rPr>
          <w:sz w:val="22"/>
          <w:szCs w:val="22"/>
        </w:rPr>
        <w:t xml:space="preserve"> </w:t>
      </w:r>
      <w:r w:rsidR="00CD2CB9">
        <w:rPr>
          <w:sz w:val="22"/>
          <w:szCs w:val="22"/>
        </w:rPr>
        <w:t xml:space="preserve">improvement in </w:t>
      </w:r>
      <w:r w:rsidR="006D0873">
        <w:rPr>
          <w:sz w:val="22"/>
          <w:szCs w:val="22"/>
        </w:rPr>
        <w:t xml:space="preserve">an individual </w:t>
      </w:r>
      <w:r w:rsidR="00CD2CB9">
        <w:rPr>
          <w:sz w:val="22"/>
          <w:szCs w:val="22"/>
        </w:rPr>
        <w:t>health</w:t>
      </w:r>
      <w:r w:rsidR="006D0873">
        <w:rPr>
          <w:sz w:val="22"/>
          <w:szCs w:val="22"/>
        </w:rPr>
        <w:t xml:space="preserve"> outcomes</w:t>
      </w:r>
      <w:r w:rsidR="00CD2CB9">
        <w:rPr>
          <w:sz w:val="22"/>
          <w:szCs w:val="22"/>
        </w:rPr>
        <w:t xml:space="preserve">, which could be </w:t>
      </w:r>
      <w:r w:rsidR="0001408F">
        <w:rPr>
          <w:sz w:val="22"/>
          <w:szCs w:val="22"/>
        </w:rPr>
        <w:t>engendered</w:t>
      </w:r>
      <w:r w:rsidR="00CD2CB9">
        <w:rPr>
          <w:sz w:val="22"/>
          <w:szCs w:val="22"/>
        </w:rPr>
        <w:t xml:space="preserve"> by policies such as anti-smoking laws, walkable public spaces, </w:t>
      </w:r>
      <w:r w:rsidR="00F7489F">
        <w:rPr>
          <w:sz w:val="22"/>
          <w:szCs w:val="22"/>
        </w:rPr>
        <w:t xml:space="preserve">or </w:t>
      </w:r>
      <w:r w:rsidR="00CD2CB9">
        <w:rPr>
          <w:sz w:val="22"/>
          <w:szCs w:val="22"/>
        </w:rPr>
        <w:t>breastfeeding awareness</w:t>
      </w:r>
      <w:r w:rsidR="00F7489F">
        <w:rPr>
          <w:sz w:val="22"/>
          <w:szCs w:val="22"/>
        </w:rPr>
        <w:t xml:space="preserve">, </w:t>
      </w:r>
      <w:r w:rsidR="008A5839">
        <w:rPr>
          <w:sz w:val="22"/>
          <w:szCs w:val="22"/>
        </w:rPr>
        <w:t xml:space="preserve">may have a </w:t>
      </w:r>
      <w:r w:rsidR="0001408F">
        <w:rPr>
          <w:sz w:val="22"/>
          <w:szCs w:val="22"/>
        </w:rPr>
        <w:t>significant</w:t>
      </w:r>
      <w:r w:rsidR="008A5839">
        <w:rPr>
          <w:sz w:val="22"/>
          <w:szCs w:val="22"/>
        </w:rPr>
        <w:t xml:space="preserve"> impact in health when applied across a population level.</w:t>
      </w:r>
    </w:p>
    <w:p w14:paraId="337CE320" w14:textId="31C81576" w:rsidR="00B02996" w:rsidRDefault="008A5839" w:rsidP="00A954F7">
      <w:pPr>
        <w:pStyle w:val="Heading1"/>
      </w:pPr>
      <w:r>
        <w:lastRenderedPageBreak/>
        <w:t xml:space="preserve"> </w:t>
      </w:r>
      <w:r w:rsidR="007859BE">
        <w:t>Methods</w:t>
      </w:r>
    </w:p>
    <w:p w14:paraId="74092D71" w14:textId="5941D4D5" w:rsidR="007859BE" w:rsidRPr="007859BE" w:rsidRDefault="007859BE" w:rsidP="00A954F7">
      <w:pPr>
        <w:pStyle w:val="Heading2"/>
      </w:pPr>
      <w:r w:rsidRPr="007859BE">
        <w:t>Biomarkers</w:t>
      </w:r>
    </w:p>
    <w:p w14:paraId="592EF060" w14:textId="2C99913D" w:rsidR="00EC2AA5" w:rsidRDefault="007859BE">
      <w:r>
        <w:t xml:space="preserve">We extract the </w:t>
      </w:r>
      <w:r w:rsidR="00E11FCC">
        <w:t xml:space="preserve">mortality-associated biomarkers in the database mortalitypredictors.org and adapt in a schema. Where possible, these are associated with a LOINC test ID. </w:t>
      </w:r>
      <w:r w:rsidR="005C477C">
        <w:t xml:space="preserve">This work is a generalization of previous work </w:t>
      </w:r>
      <w:r w:rsidR="005C477C">
        <w:fldChar w:fldCharType="begin"/>
      </w:r>
      <w:r w:rsidR="005C477C">
        <w:instrText xml:space="preserve"> ADDIN ZOTERO_ITEM CSL_CITATION {"citationID":"RqlTtiWM","properties":{"unsorted":false,"formattedCitation":"(2,3)","plainCitation":"(2,3)","noteIndex":0},"citationItems":[{"id":427,"uris":["http://zotero.org/users/local/Oz67iTD5/items/S5C29HQL"],"itemData":{"id":427,"type":"article-journal","abstract":"Mortality associated biomarkers are advantageous in that they are strongly associated with general health. Disease specific biomarkers, if optimized for, can often create suboptimal outcomes in another area, thereby compromising the health of the measured person. We use an existing database of mortality associated blood biomarkers to assess their applicability as part of a general anti-aging protocol, and the cost effectiveness of a strategy relying on biomarker testing combined with targeted interventions to improve one's aging outlook. Early intervention for suboptimal biomarkers may yield health benefits in later age, and biomarker tests provide a means of intervening in negative health habits and promoting healthy behavior.","container-title":"Archives of Gerontology and Geriatrics Plus","DOI":"10.1016/j.aggp.2025.100145","ISSN":"2950-3078","issue":"2","journalAbbreviation":"Archives of Gerontology and Geriatrics Plus","page":"100145","source":"ScienceDirect","title":"Blood biomarkers associated with all-cause mortality risk: Accessibility and clinical utility for lifestyle medicine","title-short":"Blood biomarkers associated with all-cause mortality risk","volume":"2","author":[{"family":"Halma","given":"Matthew"},{"family":"Aniwar","given":"Mariyam"},{"family":"Selem","given":"Edgar"},{"family":"Tuszynski","given":"Jack"},{"family":"Varon","given":"Joseph"},{"family":"Marik","given":"Paul"}],"issued":{"date-parts":[["2025",6,1]]}}},{"id":429,"uris":["http://zotero.org/users/local/Oz67iTD5/items/7JQTZYSB"],"itemData":{"id":429,"type":"article-journal","container-title":"Urological Science","DOI":"10.1097/us9.0000000000000106","ISSN":"1879-5226","publisher":"Wolters Kluwer Health _ Lippincott Williams &amp; Wilkins","title":"From biomarkers to better outcomes: Patient empowerment through accessible urine-based mortality risk tools—a systematic review","author":[{"family":"Selem","given":"Edgar"},{"family":"Varon","given":"Joseph"},{"family":"Halma","given":"Matthew T. J."}],"issued":{"date-parts":[["2025",11,20]]}}}],"schema":"https://github.com/citation-style-language/schema/raw/master/csl-citation.json"} </w:instrText>
      </w:r>
      <w:r w:rsidR="005C477C">
        <w:fldChar w:fldCharType="separate"/>
      </w:r>
      <w:r w:rsidR="005C477C" w:rsidRPr="005C477C">
        <w:rPr>
          <w:rFonts w:ascii="Aptos" w:hAnsi="Aptos"/>
        </w:rPr>
        <w:t>(2,3)</w:t>
      </w:r>
      <w:r w:rsidR="005C477C">
        <w:fldChar w:fldCharType="end"/>
      </w:r>
      <w:r w:rsidR="00E15C36">
        <w:t xml:space="preserve">. </w:t>
      </w:r>
      <w:r w:rsidR="00F40E45">
        <w:t>Price data are extracted form findalabtest.com</w:t>
      </w:r>
      <w:r w:rsidR="00DF4B17">
        <w:t xml:space="preserve">. </w:t>
      </w:r>
    </w:p>
    <w:p w14:paraId="05F93F75" w14:textId="1C1DAED8" w:rsidR="00D8368A" w:rsidRDefault="008A2359">
      <w:r>
        <w:t xml:space="preserve">We extract the 471 listed biomarkers form </w:t>
      </w:r>
      <w:r w:rsidR="0001408F">
        <w:t>mortalitypredictors.org and</w:t>
      </w:r>
      <w:r w:rsidR="00DF32C9">
        <w:t xml:space="preserve"> find </w:t>
      </w:r>
      <w:r w:rsidR="00ED2B9D">
        <w:t>th</w:t>
      </w:r>
      <w:r w:rsidR="00CD4C23">
        <w:t>ose biomarkers</w:t>
      </w:r>
      <w:r w:rsidR="00ED2B9D">
        <w:t xml:space="preserve"> </w:t>
      </w:r>
      <w:r w:rsidR="00CD4C23">
        <w:t xml:space="preserve">where there is either a published </w:t>
      </w:r>
      <w:r w:rsidR="00ED2B9D">
        <w:t xml:space="preserve">mapping between biomarker values and </w:t>
      </w:r>
      <w:r w:rsidR="00DF32C9">
        <w:t>mortality hazard ratio</w:t>
      </w:r>
      <w:r w:rsidR="00CD4C23">
        <w:t xml:space="preserve"> (or proxy), or it</w:t>
      </w:r>
      <w:r w:rsidR="005F4C26">
        <w:t xml:space="preserve"> can be calculated through a public dataset</w:t>
      </w:r>
      <w:r w:rsidR="00ED2B9D">
        <w:t>.</w:t>
      </w:r>
      <w:r w:rsidR="00CD4C23">
        <w:t xml:space="preserve"> </w:t>
      </w:r>
      <w:r w:rsidR="00A83729">
        <w:t xml:space="preserve">Where there is sufficient data, we calculate the distributions and mortality hazard ratio for </w:t>
      </w:r>
      <w:r w:rsidR="00EC76FF">
        <w:t>available age and sex cohorts.</w:t>
      </w:r>
    </w:p>
    <w:p w14:paraId="4A040538" w14:textId="77777777" w:rsidR="00BD3308" w:rsidRDefault="00BD3308"/>
    <w:p w14:paraId="162A1C28" w14:textId="6F655BF4" w:rsidR="008F4AD7" w:rsidRDefault="0001408F" w:rsidP="00A954F7">
      <w:pPr>
        <w:pStyle w:val="Heading2"/>
      </w:pPr>
      <w:r>
        <w:t>Expected</w:t>
      </w:r>
      <w:r w:rsidR="008F4AD7">
        <w:t xml:space="preserve"> Value of Information</w:t>
      </w:r>
    </w:p>
    <w:p w14:paraId="08798BEE" w14:textId="78215290" w:rsidR="008F4AD7" w:rsidRDefault="008F4AD7">
      <w:r>
        <w:t xml:space="preserve">Expected value of information is a common framework in health economics literature. </w:t>
      </w:r>
      <w:r w:rsidR="00A47244">
        <w:t>For a test</w:t>
      </w:r>
      <w:r w:rsidR="00471F0E">
        <w:t xml:space="preserve"> </w:t>
      </w:r>
      <w:r w:rsidR="00973E64">
        <w:t xml:space="preserve">which </w:t>
      </w:r>
      <w:r w:rsidR="0001408F">
        <w:t>provide</w:t>
      </w:r>
      <w:r w:rsidR="00973E64">
        <w:t>s</w:t>
      </w:r>
      <w:r w:rsidR="00471F0E">
        <w:t xml:space="preserve"> an output </w:t>
      </w:r>
      <w:r w:rsidR="006B4862">
        <w:t>f(x), and assuming that it provides an accurate value (uncertainty in measurements can be modelled)</w:t>
      </w:r>
      <w:r w:rsidR="008570EA">
        <w:t xml:space="preserve">. </w:t>
      </w:r>
      <w:r w:rsidR="0001408F">
        <w:t>Assuming</w:t>
      </w:r>
      <w:r w:rsidR="008570EA">
        <w:t xml:space="preserve"> an individual falls on a population distribution </w:t>
      </w:r>
      <w:r w:rsidR="00E56CD8">
        <w:t>given their characteristics, which can shift distributions</w:t>
      </w:r>
      <w:r w:rsidR="00725955">
        <w:t xml:space="preserve">, they will discover the biomarker value. </w:t>
      </w:r>
    </w:p>
    <w:p w14:paraId="0C9B6787" w14:textId="7223AC53" w:rsidR="009C104C" w:rsidRDefault="009C104C">
      <w:r>
        <w:t xml:space="preserve">An additional distribution provides value, </w:t>
      </w:r>
      <w:r w:rsidR="001A41FE">
        <w:t xml:space="preserve">the mortality risk given the biomarker value. </w:t>
      </w:r>
      <w:r w:rsidR="00D8658F">
        <w:t xml:space="preserve">Based on the population distribution of the biomarker, and the </w:t>
      </w:r>
      <w:r w:rsidR="004A60F8">
        <w:t xml:space="preserve">mortality hazard ratio as a function of the biomarker value, there is an expected value of information </w:t>
      </w:r>
      <w:r w:rsidR="00973E64">
        <w:t>for the</w:t>
      </w:r>
      <w:r w:rsidR="004A60F8">
        <w:t xml:space="preserve"> test. </w:t>
      </w:r>
    </w:p>
    <w:p w14:paraId="5BBE5C36" w14:textId="1CFB1CC2" w:rsidR="004A60F8" w:rsidRPr="008F4AD7" w:rsidRDefault="004A60F8">
      <w:r>
        <w:t xml:space="preserve">Additionally, the value can potentially be optimized through a targeted intervention. </w:t>
      </w:r>
    </w:p>
    <w:p w14:paraId="447E68CD" w14:textId="2485C882" w:rsidR="00DF4B17" w:rsidRDefault="00FC56EA" w:rsidP="00A954F7">
      <w:pPr>
        <w:pStyle w:val="Heading2"/>
      </w:pPr>
      <w:r w:rsidRPr="00FC56EA">
        <w:t xml:space="preserve">Propagation for </w:t>
      </w:r>
      <w:r>
        <w:t xml:space="preserve">DALYs </w:t>
      </w:r>
    </w:p>
    <w:p w14:paraId="6B88DBF5" w14:textId="2A80B283" w:rsidR="00FC56EA" w:rsidRDefault="00672AAB">
      <w:r>
        <w:t xml:space="preserve">Given a </w:t>
      </w:r>
      <w:r w:rsidR="006332C9">
        <w:t xml:space="preserve">biomarker coordinate, this can be converted into a mortality hazard ratio. Depending on the age of the individual, this can be propagated </w:t>
      </w:r>
      <w:r w:rsidR="00D8368A">
        <w:t xml:space="preserve">into an expected years of life lost. </w:t>
      </w:r>
    </w:p>
    <w:p w14:paraId="77E4072A" w14:textId="77777777" w:rsidR="00D8368A" w:rsidRDefault="00D8368A"/>
    <w:p w14:paraId="02EA3972" w14:textId="1CFDA59B" w:rsidR="00D8368A" w:rsidRPr="00B90FE7" w:rsidRDefault="00B90FE7" w:rsidP="00A954F7">
      <w:pPr>
        <w:pStyle w:val="Heading2"/>
      </w:pPr>
      <w:r w:rsidRPr="00B90FE7">
        <w:t>Cohort dependence on VOI</w:t>
      </w:r>
    </w:p>
    <w:p w14:paraId="3D1C0D59" w14:textId="37F27B31" w:rsidR="00EC2AA5" w:rsidRDefault="00571A55">
      <w:r>
        <w:t xml:space="preserve">Value of information </w:t>
      </w:r>
      <w:r w:rsidR="00973E64">
        <w:t>exhibits</w:t>
      </w:r>
      <w:r>
        <w:t xml:space="preserve"> cohort dependence given individual age and sex. </w:t>
      </w:r>
      <w:r w:rsidR="00A954F7">
        <w:t>Additionally,</w:t>
      </w:r>
      <w:r>
        <w:t xml:space="preserve"> factors, such as ethnicity, underlying health status, and genetic</w:t>
      </w:r>
      <w:r w:rsidR="00EB623A">
        <w:t>s can also segment the population into meani</w:t>
      </w:r>
      <w:r w:rsidR="006548EE">
        <w:t xml:space="preserve">ngful risk cohorts. </w:t>
      </w:r>
      <w:r w:rsidR="002D07A0">
        <w:t xml:space="preserve">We calculate the expected value of information </w:t>
      </w:r>
      <w:r w:rsidR="002D07A0">
        <w:lastRenderedPageBreak/>
        <w:t xml:space="preserve">and difference in DALYs, assuming the individual takes action based on the recommendations. </w:t>
      </w:r>
      <w:r w:rsidR="001B6774">
        <w:t xml:space="preserve">Effectiveness of the interventions is another factor that can affect the value of information. In our initial analysis, we assume that the individual </w:t>
      </w:r>
      <w:r w:rsidR="00691DD0">
        <w:t xml:space="preserve">can improve their marker by a standard deviation. </w:t>
      </w:r>
    </w:p>
    <w:p w14:paraId="0C866530" w14:textId="77777777" w:rsidR="00F34FFE" w:rsidRDefault="00F34FFE" w:rsidP="00A954F7">
      <w:pPr>
        <w:pStyle w:val="Heading2"/>
      </w:pPr>
    </w:p>
    <w:p w14:paraId="1E5407D3" w14:textId="56E76194" w:rsidR="00CB398E" w:rsidRDefault="00CB398E" w:rsidP="00A954F7">
      <w:pPr>
        <w:pStyle w:val="Heading2"/>
        <w:rPr>
          <w:b/>
          <w:bCs/>
        </w:rPr>
      </w:pPr>
      <w:r>
        <w:rPr>
          <w:b/>
          <w:bCs/>
        </w:rPr>
        <w:t>Global analysis of biomarker VOI</w:t>
      </w:r>
    </w:p>
    <w:p w14:paraId="173E1F56" w14:textId="27C4C752" w:rsidR="00CB398E" w:rsidRPr="00CB398E" w:rsidRDefault="001E4ED8">
      <w:r>
        <w:t xml:space="preserve">Going from an individual perspective to a public health perspective, various </w:t>
      </w:r>
      <w:r w:rsidR="00A954F7">
        <w:t>biomarkers</w:t>
      </w:r>
      <w:r>
        <w:t xml:space="preserve"> can provide value to </w:t>
      </w:r>
      <w:r w:rsidR="00AB402F">
        <w:t xml:space="preserve">individuals, and applicability across a population may vary. </w:t>
      </w:r>
    </w:p>
    <w:p w14:paraId="56565C5B" w14:textId="77777777" w:rsidR="00A64BB9" w:rsidRDefault="00A64BB9"/>
    <w:p w14:paraId="143AF6D9" w14:textId="1CD081CD" w:rsidR="00A64BB9" w:rsidRDefault="00E22B5E" w:rsidP="00A954F7">
      <w:pPr>
        <w:pStyle w:val="Heading1"/>
      </w:pPr>
      <w:r w:rsidRPr="0028059D">
        <w:t>Results</w:t>
      </w:r>
    </w:p>
    <w:p w14:paraId="27C7C9DE" w14:textId="263A7B4D" w:rsidR="00CA6B8D" w:rsidRDefault="00CA6B8D" w:rsidP="00A954F7">
      <w:pPr>
        <w:pStyle w:val="Heading2"/>
      </w:pPr>
      <w:r>
        <w:t xml:space="preserve">Extraction of </w:t>
      </w:r>
      <w:r w:rsidR="00642FFD">
        <w:t xml:space="preserve">biomarker </w:t>
      </w:r>
      <w:r w:rsidR="00A954F7">
        <w:t>distributions</w:t>
      </w:r>
      <w:r w:rsidR="00642FFD">
        <w:t xml:space="preserve"> for </w:t>
      </w:r>
      <w:r>
        <w:t xml:space="preserve">published mortality predictors </w:t>
      </w:r>
    </w:p>
    <w:p w14:paraId="1C282819" w14:textId="6C638418" w:rsidR="00CA6B8D" w:rsidRDefault="005B02F6">
      <w:r>
        <w:t xml:space="preserve">We performed an automated extraction of the 471 biomarkers in mortalitypredictors.org. </w:t>
      </w:r>
      <w:r w:rsidR="00F84F3C">
        <w:t xml:space="preserve">From their own published schema, these grouped into composite, blood, urine, </w:t>
      </w:r>
      <w:r w:rsidR="00A954F7">
        <w:t>spirometry</w:t>
      </w:r>
      <w:r w:rsidR="00BC6EEC">
        <w:t xml:space="preserve">, functional, and other categories. </w:t>
      </w:r>
    </w:p>
    <w:p w14:paraId="4F6D6722" w14:textId="62C81F21" w:rsidR="00BC6EEC" w:rsidRDefault="00BC6EEC">
      <w:r>
        <w:t xml:space="preserve">We performed a literature search to find the mortality hazard ratios (or a proxy) for the longevity biomarkers identified (Supplementary Information 1). </w:t>
      </w:r>
      <w:r w:rsidR="00DA7345">
        <w:t xml:space="preserve">Additionally, we found published distributions of the biomarker in the general population and, if possible, in specific age and sex </w:t>
      </w:r>
      <w:r w:rsidR="00A954F7">
        <w:t>cohorts.</w:t>
      </w:r>
    </w:p>
    <w:p w14:paraId="0BB15946" w14:textId="58663609" w:rsidR="00642FFD" w:rsidRDefault="00606C41">
      <w:r>
        <w:t xml:space="preserve">Our search discovered __ articles, and in the absence of a published dataset, we used NHANES data to </w:t>
      </w:r>
      <w:r w:rsidR="00A954F7">
        <w:t>calculate</w:t>
      </w:r>
      <w:r>
        <w:t xml:space="preserve"> the distribution.</w:t>
      </w:r>
      <w:r w:rsidR="00D72B01">
        <w:t xml:space="preserve"> Supplementary Table 2 shows the data provenance for each biomarker</w:t>
      </w:r>
      <w:r w:rsidR="005E4AE2">
        <w:t xml:space="preserve">, and the populations for which we have distribution data. </w:t>
      </w:r>
    </w:p>
    <w:p w14:paraId="52490A7C" w14:textId="228956C4" w:rsidR="00606C41" w:rsidRDefault="00642FFD" w:rsidP="00A954F7">
      <w:pPr>
        <w:pStyle w:val="Heading2"/>
      </w:pPr>
      <w:r>
        <w:t>Extraction of mortality hazard ratios</w:t>
      </w:r>
      <w:r w:rsidR="00606C41">
        <w:t xml:space="preserve"> </w:t>
      </w:r>
      <w:r>
        <w:t>for biomarkers</w:t>
      </w:r>
    </w:p>
    <w:p w14:paraId="5A8B63F6" w14:textId="608ADDD3" w:rsidR="00642FFD" w:rsidRDefault="00642FFD">
      <w:r>
        <w:t xml:space="preserve">For each </w:t>
      </w:r>
      <w:r w:rsidR="003B6A2A">
        <w:t xml:space="preserve">biomarker, we </w:t>
      </w:r>
      <w:r w:rsidR="00A954F7">
        <w:t>perform a</w:t>
      </w:r>
      <w:r w:rsidR="003B6A2A">
        <w:t xml:space="preserve"> literature sear</w:t>
      </w:r>
      <w:r w:rsidR="00A954F7">
        <w:t>c</w:t>
      </w:r>
      <w:r w:rsidR="003B6A2A">
        <w:t>h</w:t>
      </w:r>
      <w:r w:rsidR="00A954F7">
        <w:t xml:space="preserve"> </w:t>
      </w:r>
      <w:r w:rsidR="003B6A2A">
        <w:t xml:space="preserve">on the function of all-cause mortality risk as a function of biomarker value. This is </w:t>
      </w:r>
      <w:r w:rsidR="008C72DA">
        <w:t xml:space="preserve">often not expressed as a function, but instead a conditional change in mortality relative to a baseline. Where a suitable distribution is </w:t>
      </w:r>
      <w:r w:rsidR="00A954F7">
        <w:t>unavailable</w:t>
      </w:r>
      <w:r w:rsidR="008C72DA">
        <w:t>, we calculate all-cause mortality using NHANES using accepted methods.</w:t>
      </w:r>
      <w:r w:rsidR="005E4AE2">
        <w:t xml:space="preserve"> </w:t>
      </w:r>
    </w:p>
    <w:p w14:paraId="52AE0C65" w14:textId="56F077C7" w:rsidR="005E4AE2" w:rsidRDefault="005E4AE2">
      <w:r>
        <w:t xml:space="preserve">Supplementary Table 3 shows the </w:t>
      </w:r>
      <w:r w:rsidR="00734458">
        <w:t xml:space="preserve">data provenance of all-cause mortality (or proxy) measurements as a function of the biomarker, as </w:t>
      </w:r>
      <w:r w:rsidR="00A954F7">
        <w:t>well</w:t>
      </w:r>
      <w:r w:rsidR="00734458">
        <w:t xml:space="preserve"> </w:t>
      </w:r>
      <w:r w:rsidR="00A954F7">
        <w:t>a</w:t>
      </w:r>
      <w:r w:rsidR="00734458">
        <w:t xml:space="preserve">s the population characteristic. </w:t>
      </w:r>
    </w:p>
    <w:p w14:paraId="39DBB8AB" w14:textId="77777777" w:rsidR="00642FFD" w:rsidRPr="00CA6B8D" w:rsidRDefault="00642FFD"/>
    <w:p w14:paraId="78D7FC88" w14:textId="134833A3" w:rsidR="0028059D" w:rsidRDefault="0028059D" w:rsidP="00A954F7">
      <w:pPr>
        <w:pStyle w:val="Heading2"/>
      </w:pPr>
      <w:r>
        <w:lastRenderedPageBreak/>
        <w:t>The Physiological Fitness landscape dashboard</w:t>
      </w:r>
    </w:p>
    <w:p w14:paraId="7C0AFCD1" w14:textId="4514164F" w:rsidR="0028059D" w:rsidRDefault="0028059D">
      <w:r>
        <w:t xml:space="preserve">The dashboard itself is available at </w:t>
      </w:r>
      <w:r w:rsidR="009B76A5">
        <w:t>landscape.opensourcemed.info and</w:t>
      </w:r>
      <w:r w:rsidR="00DB39E4">
        <w:t xml:space="preserve"> allows the user to select a given biomarker. The display shows both the distribution in the general population, with age and sex toggles, </w:t>
      </w:r>
      <w:r w:rsidR="00CB398E">
        <w:t xml:space="preserve">and the hazard ratio </w:t>
      </w:r>
      <w:r w:rsidR="0044610D">
        <w:t xml:space="preserve">for mortality or a proxy as a function of the biomarker. The display shows the expected value of information </w:t>
      </w:r>
      <w:r w:rsidR="00473C62">
        <w:t>for each biomarker</w:t>
      </w:r>
      <w:r w:rsidR="007E0BCF">
        <w:t xml:space="preserve">. </w:t>
      </w:r>
    </w:p>
    <w:p w14:paraId="559F804E" w14:textId="650A5AC5" w:rsidR="007E0BCF" w:rsidRDefault="00242E6A" w:rsidP="00A954F7">
      <w:pPr>
        <w:pStyle w:val="Heading2"/>
      </w:pPr>
      <w:r>
        <w:t>Expected value of information for each biomarker</w:t>
      </w:r>
    </w:p>
    <w:p w14:paraId="15DE735F" w14:textId="054A8353" w:rsidR="007E0BCF" w:rsidRDefault="00121C3A">
      <w:r>
        <w:t>We calculate the expected value of information for each given biomarker</w:t>
      </w:r>
      <w:r w:rsidR="00AC6734">
        <w:t>, as a function of age and sex</w:t>
      </w:r>
      <w:r>
        <w:t xml:space="preserve">. </w:t>
      </w:r>
      <w:r w:rsidR="00757DDB">
        <w:t xml:space="preserve">This is via a </w:t>
      </w:r>
      <w:r w:rsidR="00A954F7">
        <w:t>M</w:t>
      </w:r>
      <w:r w:rsidR="00757DDB">
        <w:t xml:space="preserve">onte </w:t>
      </w:r>
      <w:r w:rsidR="00A954F7">
        <w:t>Carlo</w:t>
      </w:r>
      <w:r w:rsidR="00757DDB">
        <w:t xml:space="preserve"> simulation, </w:t>
      </w:r>
      <w:r w:rsidR="00A954F7">
        <w:t>drawing</w:t>
      </w:r>
      <w:r w:rsidR="00757DDB">
        <w:t xml:space="preserve"> a biomarker value from the population</w:t>
      </w:r>
      <w:r w:rsidR="00855C6A">
        <w:t xml:space="preserve">, and </w:t>
      </w:r>
      <w:r w:rsidR="00A954F7">
        <w:t>assuming</w:t>
      </w:r>
      <w:r w:rsidR="00855C6A">
        <w:t xml:space="preserve"> the test is accurate</w:t>
      </w:r>
      <w:r w:rsidR="00E4178B">
        <w:t xml:space="preserve"> to the ground truth value. </w:t>
      </w:r>
      <w:r w:rsidR="00AC6734">
        <w:t xml:space="preserve">This produces an expected value of mortality hazard ratio relative to </w:t>
      </w:r>
      <w:r w:rsidR="00605105">
        <w:t xml:space="preserve">an improvement of a specified magnitude (e.g. 1 standard </w:t>
      </w:r>
      <w:r w:rsidR="00A954F7">
        <w:t>deviation</w:t>
      </w:r>
      <w:r w:rsidR="009B76A5">
        <w:t>).</w:t>
      </w:r>
      <w:r w:rsidR="006638F2">
        <w:t xml:space="preserve"> </w:t>
      </w:r>
    </w:p>
    <w:p w14:paraId="377AF38D" w14:textId="23540B97" w:rsidR="00056534" w:rsidRDefault="00056534">
      <w:r>
        <w:t xml:space="preserve">Depending on the age, we use the ___ model to propagate the mortality hazard ratio for a </w:t>
      </w:r>
      <w:r w:rsidR="00A954F7">
        <w:t>year of life lost (YLL) value</w:t>
      </w:r>
      <w:r>
        <w:t xml:space="preserve">. </w:t>
      </w:r>
      <w:r w:rsidR="00865D13">
        <w:t>We calculate the expected YLL for a given biomarker for each age and sex cohort identified</w:t>
      </w:r>
      <w:r w:rsidR="005C6C27">
        <w:t xml:space="preserve">. </w:t>
      </w:r>
    </w:p>
    <w:p w14:paraId="4B1A50E0" w14:textId="350C83D6" w:rsidR="005320F0" w:rsidRDefault="005320F0" w:rsidP="00A954F7">
      <w:pPr>
        <w:pStyle w:val="Heading2"/>
      </w:pPr>
      <w:r>
        <w:t xml:space="preserve">Identifying Priority </w:t>
      </w:r>
      <w:r w:rsidR="00A954F7">
        <w:t>Biomarkers</w:t>
      </w:r>
      <w:r>
        <w:t xml:space="preserve"> </w:t>
      </w:r>
    </w:p>
    <w:p w14:paraId="5C1E6BFA" w14:textId="7065874D" w:rsidR="005320F0" w:rsidRDefault="005320F0">
      <w:r>
        <w:t xml:space="preserve">We produce a list of the expected YLL for </w:t>
      </w:r>
      <w:r w:rsidR="00D820E1">
        <w:t xml:space="preserve">each age and sex cohort, to illustrate the dependence of the VOI on population characteristics (age and sex). </w:t>
      </w:r>
      <w:r w:rsidR="00C968F3">
        <w:t xml:space="preserve">We show the top five biomarkers by YLL for each age and sex cohort in Table X. </w:t>
      </w:r>
    </w:p>
    <w:p w14:paraId="50E1FA30" w14:textId="0BBE8AE8" w:rsidR="003A0F12" w:rsidRDefault="00F03363" w:rsidP="00A954F7">
      <w:pPr>
        <w:pStyle w:val="Heading2"/>
      </w:pPr>
      <w:r>
        <w:t>Health Economic Analysis, cost vs willingness to pay</w:t>
      </w:r>
    </w:p>
    <w:p w14:paraId="066C72F0" w14:textId="465910B5" w:rsidR="00A54BAD" w:rsidRDefault="00F03363">
      <w:r>
        <w:t xml:space="preserve">We take literature values of willingness to pay (WTP) </w:t>
      </w:r>
      <w:r w:rsidR="004C44D1">
        <w:t>and compare them with the commercial cost of tests,</w:t>
      </w:r>
      <w:r w:rsidR="009B0C83">
        <w:t xml:space="preserve"> including the price with insurance. As these tests are being proposed in an elective fashion, </w:t>
      </w:r>
      <w:r w:rsidR="00A954F7">
        <w:t>individuals</w:t>
      </w:r>
      <w:r w:rsidR="009B0C83">
        <w:t xml:space="preserve"> may have to pay the cost out of pocket, as preventative care </w:t>
      </w:r>
      <w:r w:rsidR="00254053">
        <w:t xml:space="preserve">often lies outside of insurance coverage, though some plans provide this. </w:t>
      </w:r>
    </w:p>
    <w:p w14:paraId="77B52BCC" w14:textId="3DF74C4E" w:rsidR="00F03363" w:rsidRDefault="00A54BAD">
      <w:r>
        <w:t xml:space="preserve">We compare the DALYs with the WTP </w:t>
      </w:r>
      <w:r w:rsidR="009B76A5">
        <w:t>thresholds,</w:t>
      </w:r>
      <w:r w:rsidR="004C44D1">
        <w:t xml:space="preserve"> </w:t>
      </w:r>
      <w:r>
        <w:t xml:space="preserve">assuming different levels of intervention </w:t>
      </w:r>
      <w:r w:rsidR="00A954F7">
        <w:t>effectiveness and</w:t>
      </w:r>
      <w:r>
        <w:t xml:space="preserve"> </w:t>
      </w:r>
      <w:r w:rsidR="00DC619B">
        <w:t>show these in Table XX.</w:t>
      </w:r>
      <w:r w:rsidR="00E7236D">
        <w:t xml:space="preserve"> We evaluate the value of the biomarker test compared to the commercial price, and sort them </w:t>
      </w:r>
      <w:r w:rsidR="00D27264">
        <w:t>by a value to price ratio</w:t>
      </w:r>
      <w:r w:rsidR="00C72930">
        <w:t xml:space="preserve"> by cohort. </w:t>
      </w:r>
      <w:r w:rsidR="00D27264">
        <w:t xml:space="preserve"> </w:t>
      </w:r>
    </w:p>
    <w:p w14:paraId="046E64F1" w14:textId="77777777" w:rsidR="00C72930" w:rsidRDefault="00C72930"/>
    <w:p w14:paraId="7E355988" w14:textId="30EEDF6D" w:rsidR="00C644A2" w:rsidRDefault="00C644A2" w:rsidP="00A954F7">
      <w:pPr>
        <w:pStyle w:val="Heading1"/>
      </w:pPr>
      <w:r>
        <w:lastRenderedPageBreak/>
        <w:t>Discussion</w:t>
      </w:r>
    </w:p>
    <w:p w14:paraId="16488C4F" w14:textId="7928FE2B" w:rsidR="009B76A5" w:rsidRDefault="009B76A5" w:rsidP="009B76A5">
      <w:pPr>
        <w:pStyle w:val="Heading2"/>
      </w:pPr>
      <w:r>
        <w:t>The Value of Biomarkers in Preventative Care</w:t>
      </w:r>
    </w:p>
    <w:p w14:paraId="3B4A84E1" w14:textId="107412A1" w:rsidR="009B76A5" w:rsidRDefault="009B76A5" w:rsidP="009B76A5">
      <w:r>
        <w:t xml:space="preserve">Longevity medicine or preventative care </w:t>
      </w:r>
      <w:r w:rsidR="00B12833">
        <w:t xml:space="preserve">differs from typical medicine in that the interventions are typically </w:t>
      </w:r>
      <w:r w:rsidR="00343EA1">
        <w:t>in the absence of a clinical disease. This creates issues for standard insurance plans</w:t>
      </w:r>
      <w:r w:rsidR="00EB1DC4">
        <w:t>, which provide coverage based on a disease diagnosis, and are typically unwilling to reimburse elective costs</w:t>
      </w:r>
      <w:r w:rsidR="009A7FE0">
        <w:t>. Some insurance programs or health plans may include elective procedures</w:t>
      </w:r>
      <w:r w:rsidR="00343EA1">
        <w:t xml:space="preserve"> </w:t>
      </w:r>
      <w:r w:rsidR="009A7FE0">
        <w:t>or preventative medicine</w:t>
      </w:r>
      <w:r w:rsidR="00AD5D43">
        <w:t xml:space="preserve">. </w:t>
      </w:r>
    </w:p>
    <w:p w14:paraId="175D38FD" w14:textId="5B59DF5A" w:rsidR="0062459A" w:rsidRDefault="00AD5D43" w:rsidP="009B76A5">
      <w:r>
        <w:t xml:space="preserve">From a public health perspective, early </w:t>
      </w:r>
      <w:r w:rsidR="009231F2">
        <w:t>interventions</w:t>
      </w:r>
      <w:r>
        <w:t xml:space="preserve"> may lower total medical costs</w:t>
      </w:r>
      <w:r w:rsidR="008D41AA">
        <w:t xml:space="preserve">, and enable a high degree of health, vitality and productivity into later life. </w:t>
      </w:r>
      <w:r w:rsidR="00F7431C">
        <w:t xml:space="preserve">Industrialized nations </w:t>
      </w:r>
      <w:r w:rsidR="007A0900">
        <w:t>have a larger share of retired and elderly people relative to the rest of the working population than at any time in recorded history</w:t>
      </w:r>
      <w:r w:rsidR="0039614B">
        <w:t xml:space="preserve">, motivating strategies to decrease the costs of healthcare in later years, where costs are highly concentrated. </w:t>
      </w:r>
      <w:r w:rsidR="008F6A08">
        <w:t xml:space="preserve">Economic modeling studies </w:t>
      </w:r>
      <w:r w:rsidR="00CD6623">
        <w:t xml:space="preserve">show that this dynamic will put fiscal strain on </w:t>
      </w:r>
      <w:r w:rsidR="00F76898">
        <w:t xml:space="preserve">countries with a population distribution shifted older. </w:t>
      </w:r>
      <w:r w:rsidR="00FC3FE4">
        <w:t xml:space="preserve">This dynamic has motivated several policy </w:t>
      </w:r>
      <w:r w:rsidR="00CA7233">
        <w:t>changes in industrialized countries, motivating increases in the retirement age</w:t>
      </w:r>
      <w:r w:rsidR="009F065A">
        <w:t>, limiting retirement benefits</w:t>
      </w:r>
      <w:r w:rsidR="007A680F">
        <w:t>, and permissive immigration policies</w:t>
      </w:r>
      <w:r w:rsidR="00C71FC2">
        <w:t xml:space="preserve"> to increase the ratio of workers to retirees. </w:t>
      </w:r>
    </w:p>
    <w:p w14:paraId="30F8F0A4" w14:textId="77777777" w:rsidR="0020742F" w:rsidRDefault="00FB6A44" w:rsidP="009B76A5">
      <w:r>
        <w:t xml:space="preserve">Interventions to increase the health of older individuals, so that they can remain productive even into later years, may help to alleviate fiscal strain on </w:t>
      </w:r>
      <w:r w:rsidR="00F420C6">
        <w:t>national health systems</w:t>
      </w:r>
      <w:r w:rsidR="00977D79">
        <w:t>, pensions,</w:t>
      </w:r>
      <w:r w:rsidR="00F420C6">
        <w:t xml:space="preserve"> and retirement benefit</w:t>
      </w:r>
      <w:r w:rsidR="00311E82">
        <w:t xml:space="preserve"> pools</w:t>
      </w:r>
      <w:r w:rsidR="00F420C6">
        <w:t>.</w:t>
      </w:r>
    </w:p>
    <w:p w14:paraId="5B5D9012" w14:textId="77777777" w:rsidR="008D7C9C" w:rsidRPr="009B76A5" w:rsidRDefault="008D7C9C" w:rsidP="009B76A5"/>
    <w:p w14:paraId="6EB9DD30" w14:textId="77777777" w:rsidR="00C644A2" w:rsidRDefault="00C644A2"/>
    <w:p w14:paraId="5229BE76" w14:textId="77777777" w:rsidR="00EA3019" w:rsidRDefault="00EA3019"/>
    <w:p w14:paraId="147B5BEB" w14:textId="77777777" w:rsidR="00EA3019" w:rsidRDefault="00EA3019"/>
    <w:p w14:paraId="26D04F2F" w14:textId="69E61B1F" w:rsidR="00EA3019" w:rsidRPr="00EA3019" w:rsidRDefault="00EA3019" w:rsidP="00A954F7">
      <w:pPr>
        <w:pStyle w:val="Heading2"/>
      </w:pPr>
      <w:r w:rsidRPr="00EA3019">
        <w:t>Limitations</w:t>
      </w:r>
    </w:p>
    <w:p w14:paraId="4A2308F0" w14:textId="572B9A09" w:rsidR="00C644A2" w:rsidRDefault="00EA3019">
      <w:r>
        <w:t xml:space="preserve">The model does not currently account for potential test inaccuracy, and the intervention layer is simplified. Further work involves adding an intervention layer to the </w:t>
      </w:r>
      <w:r w:rsidR="00FC1903">
        <w:t xml:space="preserve">application, providing linkages between biomarkers and the interventions which affect them. This data can be extracted from clinical trials and meta-analyses. </w:t>
      </w:r>
      <w:r w:rsidR="00BF2464">
        <w:t xml:space="preserve">Fortunately, because biomarkers are standardized measurements and associated tests, for example using LOINC, </w:t>
      </w:r>
      <w:r w:rsidR="005E18F9">
        <w:t>these can be systematically extracted from databases such as clinicaltrials.gov.</w:t>
      </w:r>
    </w:p>
    <w:p w14:paraId="4DB4A313" w14:textId="19109528" w:rsidR="00265C38" w:rsidRDefault="00265C38" w:rsidP="00265C38">
      <w:pPr>
        <w:pStyle w:val="Heading2"/>
      </w:pPr>
      <w:r>
        <w:lastRenderedPageBreak/>
        <w:t>Conclusion</w:t>
      </w:r>
    </w:p>
    <w:p w14:paraId="786E3EE2" w14:textId="3C23F85E" w:rsidR="00265C38" w:rsidRPr="00265C38" w:rsidRDefault="00265C38" w:rsidP="00265C38">
      <w:r>
        <w:t xml:space="preserve">Mortality </w:t>
      </w:r>
      <w:r w:rsidR="00522288">
        <w:t xml:space="preserve">associated biomarkers may be useful </w:t>
      </w:r>
      <w:r w:rsidR="00E4533F">
        <w:t xml:space="preserve">for preventative care, especially in older age. Early interventions can change health trajectories, enabling a higher degree </w:t>
      </w:r>
      <w:r w:rsidR="00583434">
        <w:t>of</w:t>
      </w:r>
      <w:r w:rsidR="00E4533F">
        <w:t xml:space="preserve"> </w:t>
      </w:r>
      <w:r w:rsidR="0067139D">
        <w:t>independence</w:t>
      </w:r>
      <w:r w:rsidR="00E4533F">
        <w:t xml:space="preserve">, health and productivity in later years. </w:t>
      </w:r>
      <w:r w:rsidR="00AC4D45">
        <w:t xml:space="preserve">The dashboard is available for public use at landscape.opensourcemed.info. </w:t>
      </w:r>
    </w:p>
    <w:sectPr w:rsidR="00265C38" w:rsidRPr="00265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52"/>
    <w:rsid w:val="0001408F"/>
    <w:rsid w:val="00027918"/>
    <w:rsid w:val="00056534"/>
    <w:rsid w:val="000A28B7"/>
    <w:rsid w:val="000B50E8"/>
    <w:rsid w:val="000C5DD3"/>
    <w:rsid w:val="00121B99"/>
    <w:rsid w:val="00121C3A"/>
    <w:rsid w:val="001A41FE"/>
    <w:rsid w:val="001B6774"/>
    <w:rsid w:val="001D3E27"/>
    <w:rsid w:val="001E085C"/>
    <w:rsid w:val="001E4ED8"/>
    <w:rsid w:val="00204C68"/>
    <w:rsid w:val="0020742F"/>
    <w:rsid w:val="00242E6A"/>
    <w:rsid w:val="00254053"/>
    <w:rsid w:val="00260113"/>
    <w:rsid w:val="00262FF8"/>
    <w:rsid w:val="00265C38"/>
    <w:rsid w:val="0028059D"/>
    <w:rsid w:val="002938D5"/>
    <w:rsid w:val="00295423"/>
    <w:rsid w:val="002A4E61"/>
    <w:rsid w:val="002D07A0"/>
    <w:rsid w:val="00311E82"/>
    <w:rsid w:val="00343EA1"/>
    <w:rsid w:val="00344B81"/>
    <w:rsid w:val="003469AC"/>
    <w:rsid w:val="003839CF"/>
    <w:rsid w:val="0039614B"/>
    <w:rsid w:val="003A0F12"/>
    <w:rsid w:val="003B597C"/>
    <w:rsid w:val="003B6A2A"/>
    <w:rsid w:val="003C39C5"/>
    <w:rsid w:val="003C6992"/>
    <w:rsid w:val="00443FFE"/>
    <w:rsid w:val="0044610D"/>
    <w:rsid w:val="00471F0E"/>
    <w:rsid w:val="00473C62"/>
    <w:rsid w:val="00474C45"/>
    <w:rsid w:val="004A60F8"/>
    <w:rsid w:val="004B10A5"/>
    <w:rsid w:val="004C44D1"/>
    <w:rsid w:val="004F7B0E"/>
    <w:rsid w:val="00522288"/>
    <w:rsid w:val="005320F0"/>
    <w:rsid w:val="0055324A"/>
    <w:rsid w:val="00571A55"/>
    <w:rsid w:val="00583434"/>
    <w:rsid w:val="005B02F6"/>
    <w:rsid w:val="005C477C"/>
    <w:rsid w:val="005C6C27"/>
    <w:rsid w:val="005E18F9"/>
    <w:rsid w:val="005E4AE2"/>
    <w:rsid w:val="005F4C26"/>
    <w:rsid w:val="005F5024"/>
    <w:rsid w:val="00605105"/>
    <w:rsid w:val="00606C41"/>
    <w:rsid w:val="006160ED"/>
    <w:rsid w:val="0062459A"/>
    <w:rsid w:val="006332C9"/>
    <w:rsid w:val="00635CF4"/>
    <w:rsid w:val="00642FFD"/>
    <w:rsid w:val="006540AB"/>
    <w:rsid w:val="006548EE"/>
    <w:rsid w:val="006638F2"/>
    <w:rsid w:val="0067139D"/>
    <w:rsid w:val="00672AAB"/>
    <w:rsid w:val="00683D6A"/>
    <w:rsid w:val="00691DD0"/>
    <w:rsid w:val="006B4862"/>
    <w:rsid w:val="006D0873"/>
    <w:rsid w:val="00725955"/>
    <w:rsid w:val="00734458"/>
    <w:rsid w:val="00734D5C"/>
    <w:rsid w:val="00757DDB"/>
    <w:rsid w:val="0077112E"/>
    <w:rsid w:val="00777057"/>
    <w:rsid w:val="007808A2"/>
    <w:rsid w:val="007859BE"/>
    <w:rsid w:val="007A0900"/>
    <w:rsid w:val="007A680F"/>
    <w:rsid w:val="007B59AC"/>
    <w:rsid w:val="007D7A19"/>
    <w:rsid w:val="007E0BCF"/>
    <w:rsid w:val="007E2F4B"/>
    <w:rsid w:val="00855C6A"/>
    <w:rsid w:val="008570EA"/>
    <w:rsid w:val="00865D13"/>
    <w:rsid w:val="00873537"/>
    <w:rsid w:val="008A2359"/>
    <w:rsid w:val="008A5839"/>
    <w:rsid w:val="008A6A52"/>
    <w:rsid w:val="008B24F2"/>
    <w:rsid w:val="008C718A"/>
    <w:rsid w:val="008C72DA"/>
    <w:rsid w:val="008D41AA"/>
    <w:rsid w:val="008D6ACA"/>
    <w:rsid w:val="008D7C9C"/>
    <w:rsid w:val="008E4086"/>
    <w:rsid w:val="008F4AD7"/>
    <w:rsid w:val="008F679C"/>
    <w:rsid w:val="008F6A08"/>
    <w:rsid w:val="009001D5"/>
    <w:rsid w:val="00913957"/>
    <w:rsid w:val="00914462"/>
    <w:rsid w:val="009231F2"/>
    <w:rsid w:val="00962819"/>
    <w:rsid w:val="0097120D"/>
    <w:rsid w:val="00973E64"/>
    <w:rsid w:val="00977D79"/>
    <w:rsid w:val="009A2195"/>
    <w:rsid w:val="009A7FE0"/>
    <w:rsid w:val="009B0C83"/>
    <w:rsid w:val="009B3358"/>
    <w:rsid w:val="009B76A5"/>
    <w:rsid w:val="009C104C"/>
    <w:rsid w:val="009C3000"/>
    <w:rsid w:val="009F065A"/>
    <w:rsid w:val="009F537E"/>
    <w:rsid w:val="00A47244"/>
    <w:rsid w:val="00A54BAD"/>
    <w:rsid w:val="00A64BB9"/>
    <w:rsid w:val="00A83729"/>
    <w:rsid w:val="00A94FB0"/>
    <w:rsid w:val="00A954F7"/>
    <w:rsid w:val="00AB3A10"/>
    <w:rsid w:val="00AB402F"/>
    <w:rsid w:val="00AC4D45"/>
    <w:rsid w:val="00AC53C0"/>
    <w:rsid w:val="00AC6734"/>
    <w:rsid w:val="00AD5D43"/>
    <w:rsid w:val="00B02996"/>
    <w:rsid w:val="00B12833"/>
    <w:rsid w:val="00B156A3"/>
    <w:rsid w:val="00B502FD"/>
    <w:rsid w:val="00B6190E"/>
    <w:rsid w:val="00B77AC6"/>
    <w:rsid w:val="00B90FE7"/>
    <w:rsid w:val="00BC6EEC"/>
    <w:rsid w:val="00BD3308"/>
    <w:rsid w:val="00BF2464"/>
    <w:rsid w:val="00C0318B"/>
    <w:rsid w:val="00C13A21"/>
    <w:rsid w:val="00C42B87"/>
    <w:rsid w:val="00C62174"/>
    <w:rsid w:val="00C644A2"/>
    <w:rsid w:val="00C71FC2"/>
    <w:rsid w:val="00C72930"/>
    <w:rsid w:val="00C830A4"/>
    <w:rsid w:val="00C83FB2"/>
    <w:rsid w:val="00C968F3"/>
    <w:rsid w:val="00CA0104"/>
    <w:rsid w:val="00CA6B8D"/>
    <w:rsid w:val="00CA7233"/>
    <w:rsid w:val="00CB398E"/>
    <w:rsid w:val="00CD2CB9"/>
    <w:rsid w:val="00CD4C23"/>
    <w:rsid w:val="00CD6623"/>
    <w:rsid w:val="00CE20FC"/>
    <w:rsid w:val="00D177DB"/>
    <w:rsid w:val="00D2715B"/>
    <w:rsid w:val="00D27264"/>
    <w:rsid w:val="00D36B43"/>
    <w:rsid w:val="00D72B01"/>
    <w:rsid w:val="00D820E1"/>
    <w:rsid w:val="00D8368A"/>
    <w:rsid w:val="00D8658F"/>
    <w:rsid w:val="00D97F91"/>
    <w:rsid w:val="00DA1188"/>
    <w:rsid w:val="00DA7345"/>
    <w:rsid w:val="00DB39E4"/>
    <w:rsid w:val="00DC619B"/>
    <w:rsid w:val="00DF2232"/>
    <w:rsid w:val="00DF32C9"/>
    <w:rsid w:val="00DF4B17"/>
    <w:rsid w:val="00E068E6"/>
    <w:rsid w:val="00E11FCC"/>
    <w:rsid w:val="00E15C36"/>
    <w:rsid w:val="00E201A2"/>
    <w:rsid w:val="00E22B5E"/>
    <w:rsid w:val="00E32AAC"/>
    <w:rsid w:val="00E4178B"/>
    <w:rsid w:val="00E4533F"/>
    <w:rsid w:val="00E56CD8"/>
    <w:rsid w:val="00E7236D"/>
    <w:rsid w:val="00EA3019"/>
    <w:rsid w:val="00EB1DC4"/>
    <w:rsid w:val="00EB623A"/>
    <w:rsid w:val="00EC2AA5"/>
    <w:rsid w:val="00EC76FF"/>
    <w:rsid w:val="00ED2B9D"/>
    <w:rsid w:val="00F03363"/>
    <w:rsid w:val="00F13B56"/>
    <w:rsid w:val="00F2266E"/>
    <w:rsid w:val="00F34FFE"/>
    <w:rsid w:val="00F40E45"/>
    <w:rsid w:val="00F420C6"/>
    <w:rsid w:val="00F57220"/>
    <w:rsid w:val="00F6151C"/>
    <w:rsid w:val="00F7431C"/>
    <w:rsid w:val="00F7489F"/>
    <w:rsid w:val="00F76898"/>
    <w:rsid w:val="00F84F3C"/>
    <w:rsid w:val="00FB6A44"/>
    <w:rsid w:val="00FC1903"/>
    <w:rsid w:val="00FC3FE4"/>
    <w:rsid w:val="00FC5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F94C"/>
  <w15:chartTrackingRefBased/>
  <w15:docId w15:val="{9BF5094B-0CDF-499C-9073-C50D6017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A52"/>
    <w:rPr>
      <w:rFonts w:eastAsiaTheme="majorEastAsia" w:cstheme="majorBidi"/>
      <w:color w:val="272727" w:themeColor="text1" w:themeTint="D8"/>
    </w:rPr>
  </w:style>
  <w:style w:type="paragraph" w:styleId="Title">
    <w:name w:val="Title"/>
    <w:basedOn w:val="Normal"/>
    <w:next w:val="Normal"/>
    <w:link w:val="TitleChar"/>
    <w:uiPriority w:val="10"/>
    <w:qFormat/>
    <w:rsid w:val="008A6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A52"/>
    <w:pPr>
      <w:spacing w:before="160"/>
      <w:jc w:val="center"/>
    </w:pPr>
    <w:rPr>
      <w:i/>
      <w:iCs/>
      <w:color w:val="404040" w:themeColor="text1" w:themeTint="BF"/>
    </w:rPr>
  </w:style>
  <w:style w:type="character" w:customStyle="1" w:styleId="QuoteChar">
    <w:name w:val="Quote Char"/>
    <w:basedOn w:val="DefaultParagraphFont"/>
    <w:link w:val="Quote"/>
    <w:uiPriority w:val="29"/>
    <w:rsid w:val="008A6A52"/>
    <w:rPr>
      <w:i/>
      <w:iCs/>
      <w:color w:val="404040" w:themeColor="text1" w:themeTint="BF"/>
    </w:rPr>
  </w:style>
  <w:style w:type="paragraph" w:styleId="ListParagraph">
    <w:name w:val="List Paragraph"/>
    <w:basedOn w:val="Normal"/>
    <w:uiPriority w:val="34"/>
    <w:qFormat/>
    <w:rsid w:val="008A6A52"/>
    <w:pPr>
      <w:ind w:left="720"/>
      <w:contextualSpacing/>
    </w:pPr>
  </w:style>
  <w:style w:type="character" w:styleId="IntenseEmphasis">
    <w:name w:val="Intense Emphasis"/>
    <w:basedOn w:val="DefaultParagraphFont"/>
    <w:uiPriority w:val="21"/>
    <w:qFormat/>
    <w:rsid w:val="008A6A52"/>
    <w:rPr>
      <w:i/>
      <w:iCs/>
      <w:color w:val="0F4761" w:themeColor="accent1" w:themeShade="BF"/>
    </w:rPr>
  </w:style>
  <w:style w:type="paragraph" w:styleId="IntenseQuote">
    <w:name w:val="Intense Quote"/>
    <w:basedOn w:val="Normal"/>
    <w:next w:val="Normal"/>
    <w:link w:val="IntenseQuoteChar"/>
    <w:uiPriority w:val="30"/>
    <w:qFormat/>
    <w:rsid w:val="008A6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A52"/>
    <w:rPr>
      <w:i/>
      <w:iCs/>
      <w:color w:val="0F4761" w:themeColor="accent1" w:themeShade="BF"/>
    </w:rPr>
  </w:style>
  <w:style w:type="character" w:styleId="IntenseReference">
    <w:name w:val="Intense Reference"/>
    <w:basedOn w:val="DefaultParagraphFont"/>
    <w:uiPriority w:val="32"/>
    <w:qFormat/>
    <w:rsid w:val="008A6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4567</TotalTime>
  <Pages>7</Pages>
  <Words>2802</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Halma</dc:creator>
  <cp:keywords/>
  <dc:description/>
  <cp:lastModifiedBy>Matthew Halma</cp:lastModifiedBy>
  <cp:revision>263</cp:revision>
  <dcterms:created xsi:type="dcterms:W3CDTF">2026-09-09T14:05:00Z</dcterms:created>
  <dcterms:modified xsi:type="dcterms:W3CDTF">2026-09-12T19:35:00Z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id="nr1lYCRn"/&gt;&lt;style id="http://www.zotero.org/styles/nlm-citation-sequence" locale="en-US" hasBibliography="1" bibliographyStyleHasBeenSet="0"/&gt;&lt;prefs&gt;&lt;pref name="fieldType" value="Field"/&gt;&lt;pref nam</vt:lpwstr>
  </property>
  <property fmtid="{D5CDD505-2E9C-101B-9397-08002B2CF9AE}" pid="3" name="ZOTERO_PREF_2">
    <vt:lpwstr>e="automaticJournalAbbreviations" value="true"/&gt;&lt;/prefs&gt;&lt;/data&gt;</vt:lpwstr>
  </property>
</Properties>
</file>