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Genetic Correlates Explorer — Build Spec</w:t>
      </w:r>
    </w:p>
    <w:p>
      <w:pPr/>
      <w:r>
        <w:t xml:space="preserve">Sep 22,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Purpose and scope</w:t>
      </w:r>
    </w:p>
    <w:p>
      <w:pPr/>
      <w:r>
        <w:t xml:space="preserve">The Genetic Correlates Explorer is a research tool on research.opensourcemed.info that shows what genetic evidence exists for PACVS and adjacent post-acute phenotypes, how strong it is, and where it is missing. It integrates existing open GWAS and functional-genomics data; it does not run new association studies.</w:t>
      </w:r>
    </w:p>
    <w:p>
      <w:pPr/>
      <w:r>
        <w:rPr>
          <w:b/>
        </w:rPr>
        <w:t xml:space="preserve">In scope (MVP)</w:t>
      </w:r>
    </w:p>
    <w:p>
      <w:pPr>
        <w:pStyle w:val="ListParagraph"/>
        <w:numPr>
          <w:ilvl w:val="0"/>
          <w:numId w:val="2"/>
        </w:numPr>
      </w:pPr>
      <w:r>
        <w:t xml:space="preserve">Phenotype pages for PACVS, Long COVID, vaccine adverse events (reactogenicity, post-vaccination myocarditis), ME/CFS and POTS/dysautonomia, plus COVID-19 severity and susceptibility as reference phenotypes.</w:t>
      </w:r>
    </w:p>
    <w:p>
      <w:pPr>
        <w:pStyle w:val="ListParagraph"/>
        <w:numPr>
          <w:ilvl w:val="0"/>
          <w:numId w:val="2"/>
        </w:numPr>
      </w:pPr>
      <w:r>
        <w:t xml:space="preserve">Variant, locus and gene pages with the chain variant → locus → gene → QTL → tissue → pathway → publication.</w:t>
      </w:r>
    </w:p>
    <w:p>
      <w:pPr>
        <w:pStyle w:val="ListParagraph"/>
        <w:numPr>
          <w:ilvl w:val="0"/>
          <w:numId w:val="2"/>
        </w:numPr>
      </w:pPr>
      <w:r>
        <w:t xml:space="preserve">A cross-phenotype matrix and an evidence map showing shared loci, genes and pathways, conflicts and gaps.</w:t>
      </w:r>
    </w:p>
    <w:p>
      <w:pPr>
        <w:pStyle w:val="ListParagraph"/>
        <w:numPr>
          <w:ilvl w:val="0"/>
          <w:numId w:val="2"/>
        </w:numPr>
      </w:pPr>
      <w:r>
        <w:t xml:space="preserve">Full provenance and downloadable flat files for every record.</w:t>
      </w:r>
    </w:p>
    <w:p>
      <w:pPr/>
      <w:r>
        <w:rPr>
          <w:b/>
        </w:rPr>
        <w:t xml:space="preserve">Non-goals</w:t>
      </w:r>
    </w:p>
    <w:p>
      <w:pPr>
        <w:pStyle w:val="ListParagraph"/>
        <w:numPr>
          <w:ilvl w:val="0"/>
          <w:numId w:val="3"/>
        </w:numPr>
      </w:pPr>
      <w:r>
        <w:t xml:space="preserve">No clinical risk prediction, polygenic scores for individuals, or personal genotype upload.</w:t>
      </w:r>
    </w:p>
    <w:p>
      <w:pPr>
        <w:pStyle w:val="ListParagraph"/>
        <w:numPr>
          <w:ilvl w:val="0"/>
          <w:numId w:val="3"/>
        </w:numPr>
      </w:pPr>
      <w:r>
        <w:t xml:space="preserve">No re-hosting of full summary statistics; the site stores lead hits and targeted lookups, and links to source files.</w:t>
      </w:r>
    </w:p>
    <w:p>
      <w:pPr>
        <w:pStyle w:val="ListParagraph"/>
        <w:numPr>
          <w:ilvl w:val="0"/>
          <w:numId w:val="3"/>
        </w:numPr>
      </w:pPr>
      <w:r>
        <w:t xml:space="preserve">No claim that evidence from a related phenotype is PACVS evidence.</w:t>
      </w:r>
    </w:p>
    <w:p>
      <w:pPr/>
      <w:r>
        <w:rPr>
          <w:b/>
        </w:rPr>
        <w:t xml:space="preserve">Fit with RepurpOS.</w:t>
      </w:r>
      <w:r>
        <w:t xml:space="preserve"> The explorer reuses the existing Open Targets integration and the PAIS cohort database conventions (flat files, CI schema validation, PR contributions, pinned ontology releases). Gene pages link into existing disease-intelligence and repurposing content.</w:t>
      </w:r>
    </w:p>
    <w:p>
      <w:pPr>
        <w:pStyle w:val="Heading2"/>
      </w:pPr>
      <w:r>
        <w:t xml:space="preserve">2. Evidence model</w:t>
      </w:r>
    </w:p>
    <w:p>
      <w:pPr/>
      <w:r>
        <w:t xml:space="preserve">Every association carries one evidence tier and a set of quality flags; the UI never mixes tiers without labelling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Direct</w:t>
            </w:r>
          </w:p>
        </w:tc>
        <w:tc>
          <w:tcPr>
            <w:tcW w:w="2340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t xml:space="preserve">A GWAS, exome or candidate study measured this exact phenotype</w:t>
            </w:r>
          </w:p>
        </w:tc>
        <w:tc>
          <w:tcPr>
            <w:tcW w:w="2340" w:type="dxa"/>
          </w:tcPr>
          <w:p>
            <w:pPr/>
            <w:r>
              <w:t xml:space="preserve">Long COVID GWAS hit at FOXP4 shown on the Long COVID page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Related phenotype</w:t>
            </w:r>
          </w:p>
        </w:tc>
        <w:tc>
          <w:tcPr>
            <w:tcW w:w="2340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t xml:space="preserve">The association is for a phenotype linked to the target in the phenotype-relationship table</w:t>
            </w:r>
          </w:p>
        </w:tc>
        <w:tc>
          <w:tcPr>
            <w:tcW w:w="2340" w:type="dxa"/>
          </w:tcPr>
          <w:p>
            <w:pPr/>
            <w:r>
              <w:t xml:space="preserve">The same FOXP4 hit shown on the PACVS page, labelled via Long COVID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Mechanistic / functional</w:t>
            </w:r>
          </w:p>
        </w:tc>
        <w:tc>
          <w:tcPr>
            <w:tcW w:w="2340" w:type="dxa"/>
          </w:tcPr>
          <w:p>
            <w:pPr/>
            <w:r>
              <w:t xml:space="preserve">T3</w:t>
            </w:r>
          </w:p>
        </w:tc>
        <w:tc>
          <w:tcPr>
            <w:tcW w:w="2340" w:type="dxa"/>
          </w:tcPr>
          <w:p>
            <w:pPr/>
            <w:r>
              <w:t xml:space="preserve">The variant or gene affects expression, protein level or immune function, with no phenotype association to the target</w:t>
            </w:r>
          </w:p>
        </w:tc>
        <w:tc>
          <w:tcPr>
            <w:tcW w:w="2340" w:type="dxa"/>
          </w:tcPr>
          <w:p>
            <w:pPr/>
            <w:r>
              <w:t xml:space="preserve">An eQTL/pQTL for a gene in a T1/T2 locus</w:t>
            </w:r>
          </w:p>
        </w:tc>
      </w:tr>
    </w:tbl>
    <w:p>
      <w:pPr/>
      <w:r>
        <w:rPr>
          <w:b/>
        </w:rPr>
        <w:t xml:space="preserve">Search states (per phenotype).</w:t>
      </w:r>
      <w:r>
        <w:t xml:space="preserve"> These are records, not blank space.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searched_none</w:t>
      </w:r>
      <w:r>
        <w:t xml:space="preserve"> — sources were searched on a stated date and no study exists. Displayed as "No direct GWAS evidence found as of [date]".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searched_underpowered</w:t>
      </w:r>
      <w:r>
        <w:t xml:space="preserve"> — studies exist but none reach genome-wide significance.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not_searched</w:t>
      </w:r>
      <w:r>
        <w:t xml:space="preserve"> — never shown publicly; blocks release.</w:t>
      </w:r>
    </w:p>
    <w:p>
      <w:pPr/>
      <w:r>
        <w:rPr>
          <w:b/>
        </w:rPr>
        <w:t xml:space="preserve">Quality flags (per association):</w:t>
      </w:r>
      <w:r>
        <w:t xml:space="preserve"> genome-wide significant (p &lt; 5×10⁻⁸); study-specific threshold if different; replicated (independent cohort); fine-mapped (in a credible set); ancestry of discovery sample; case and control N; phenotype definition type (self-report, clinical, EHR code, questionnaire); effect direction and estimate with SE or CI.</w:t>
      </w:r>
    </w:p>
    <w:p>
      <w:pPr/>
      <w:r>
        <w:rPr>
          <w:b/>
        </w:rPr>
        <w:t xml:space="preserve">Display grade.</w:t>
      </w:r>
      <w:r>
        <w:t xml:space="preserve"> A single A–D badge is computed from the flags, never curated by hand. A = T1, genome-wide significant, replicated. B = T1 significant, unreplicated. C = T1 suggestive, or any T2. D = T3 only. The rule set lives in versioned code so grades are reproducible.</w:t>
      </w:r>
    </w:p>
    <w:p>
      <w:pPr>
        <w:pStyle w:val="Heading2"/>
      </w:pPr>
      <w:r>
        <w:t xml:space="preserve">3. MVP phenotype registry</w:t>
      </w:r>
    </w:p>
    <w:p>
      <w:pPr/>
      <w:r>
        <w:t xml:space="preserve">PACVS is the first-class phenotype; every other MVP phenotype exists to supply T2 context for it. Each phenotype maps to EFO/MONDO terms (for GWAS Catalog and Open Targets queries) and to the same pinned HPO release used by the PAIS cohort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Phenotype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Seed evidence to verify at ingestion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starting state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PACVS</w:t>
            </w:r>
          </w:p>
        </w:tc>
        <w:tc>
          <w:tcPr>
            <w:tcW w:w="2340" w:type="dxa"/>
          </w:tcPr>
          <w:p>
            <w:pPr/>
            <w:r>
              <w:t xml:space="preserve">Target</w:t>
            </w:r>
          </w:p>
        </w:tc>
        <w:tc>
          <w:tcPr>
            <w:tcW w:w="2340" w:type="dxa"/>
          </w:tcPr>
          <w:p>
            <w:pPr/>
            <w:r>
              <w:t xml:space="preserve">Literature search for any GWAS, HLA or candidate-gene study</w:t>
            </w:r>
          </w:p>
        </w:tc>
        <w:tc>
          <w:tcPr>
            <w:tcW w:w="2340" w:type="dxa"/>
          </w:tcPr>
          <w:p>
            <w:pPr/>
            <w:r>
              <w:t xml:space="preserve">Likely </w:t>
            </w:r>
            <w:r>
              <w:rPr>
                <w:rStyle w:val="CodeChar"/>
              </w:rPr>
              <w:t xml:space="preserve">searched_none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Long COVID / PASC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COVID-19 HGI long COVID GWAS (FOXP4)</w:t>
            </w:r>
          </w:p>
        </w:tc>
        <w:tc>
          <w:tcPr>
            <w:tcW w:w="2340" w:type="dxa"/>
          </w:tcPr>
          <w:p>
            <w:pPr/>
            <w:r>
              <w:t xml:space="preserve">T1 data, graded 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Vaccine reactogenicity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Published HLA association studies</w:t>
            </w:r>
          </w:p>
        </w:tc>
        <w:tc>
          <w:tcPr>
            <w:tcW w:w="2340" w:type="dxa"/>
          </w:tcPr>
          <w:p>
            <w:pPr/>
            <w:r>
              <w:t xml:space="preserve">T1, small 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Post-vaccination myocarditis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HLA / candidate-gene case studies</w:t>
            </w:r>
          </w:p>
        </w:tc>
        <w:tc>
          <w:tcPr>
            <w:tcW w:w="2340" w:type="dxa"/>
          </w:tcPr>
          <w:p>
            <w:pPr/>
            <w:r>
              <w:t xml:space="preserve">Sparse or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ME/CFS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DecodeME and earlier GWAS</w:t>
            </w:r>
          </w:p>
        </w:tc>
        <w:tc>
          <w:tcPr>
            <w:tcW w:w="2340" w:type="dxa"/>
          </w:tcPr>
          <w:p>
            <w:pPr/>
            <w:r>
              <w:t xml:space="preserve">T1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POTS / dysautonomia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Small candidate-gene studies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COVID-19 severity / susceptibility</w:t>
            </w:r>
          </w:p>
        </w:tc>
        <w:tc>
          <w:tcPr>
            <w:tcW w:w="2340" w:type="dxa"/>
          </w:tcPr>
          <w:p>
            <w:pPr/>
            <w:r>
              <w:t xml:space="preserve">Reference</w:t>
            </w:r>
          </w:p>
        </w:tc>
        <w:tc>
          <w:tcPr>
            <w:tcW w:w="2340" w:type="dxa"/>
          </w:tcPr>
          <w:p>
            <w:pPr/>
            <w:r>
              <w:t xml:space="preserve">COVID-19 HGI releases</w:t>
            </w:r>
          </w:p>
        </w:tc>
        <w:tc>
          <w:tcPr>
            <w:tcW w:w="2340" w:type="dxa"/>
          </w:tcPr>
          <w:p>
            <w:pPr/>
            <w:r>
              <w:t xml:space="preserve">T1, many loci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Post-dengue fatigue syndrome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Candidate-gene and small cohort studies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Post-polio syndrome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Literature search; delayed-onset (decades) case series</w:t>
            </w:r>
          </w:p>
        </w:tc>
        <w:tc>
          <w:tcPr>
            <w:tcW w:w="2340" w:type="dxa"/>
          </w:tcPr>
          <w:p>
            <w:pPr/>
            <w:r>
              <w:t xml:space="preserve">Likely searched_none or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Post-chikungunya disease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Candidate-gene studies of chronic inflammatory arthritis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Post-Ebola virus syndrome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PostEboGui and related survivor cohort literature</w:t>
            </w:r>
          </w:p>
        </w:tc>
        <w:tc>
          <w:tcPr>
            <w:tcW w:w="2340" w:type="dxa"/>
          </w:tcPr>
          <w:p>
            <w:pPr/>
            <w:r>
              <w:t xml:space="preserve">Likely searched_none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Post-SARS syndrome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2003 SARS-CoV-1 cohort follow-up studies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 fever fatigue syndrome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Candidate-gene and small cohort studies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Post-treatment Lyme disease syndrome (PTLDS)</w:t>
            </w:r>
          </w:p>
        </w:tc>
        <w:tc>
          <w:tcPr>
            <w:tcW w:w="2340" w:type="dxa"/>
          </w:tcPr>
          <w:p>
            <w:pPr/>
            <w:r>
              <w:t xml:space="preserve">T2 source</w:t>
            </w:r>
          </w:p>
        </w:tc>
        <w:tc>
          <w:tcPr>
            <w:tcW w:w="2340" w:type="dxa"/>
          </w:tcPr>
          <w:p>
            <w:pPr/>
            <w:r>
              <w:t xml:space="preserve">Candidate-gene and immune-marker studies</w:t>
            </w:r>
          </w:p>
        </w:tc>
        <w:tc>
          <w:tcPr>
            <w:tcW w:w="2340" w:type="dxa"/>
          </w:tcPr>
          <w:p>
            <w:pPr/>
            <w:r>
              <w:t xml:space="preserve">Likely underpowered</w:t>
            </w:r>
          </w:p>
        </w:tc>
      </w:tr>
    </w:tbl>
    <w:p>
      <w:pPr/>
      <w:r>
        <w:rPr>
          <w:b/>
        </w:rPr>
        <w:t xml:space="preserve">Phenotype relationships.</w:t>
      </w:r>
      <w:r>
        <w:t xml:space="preserve"> A </w:t>
      </w:r>
      <w:r>
        <w:rPr>
          <w:rStyle w:val="CodeChar"/>
        </w:rPr>
        <w:t xml:space="preserve">phenotype_relationships</w:t>
      </w:r>
      <w:r>
        <w:t xml:space="preserve"> row links PACVS to each source phenotype with a type (</w:t>
      </w:r>
      <w:r>
        <w:rPr>
          <w:rStyle w:val="CodeChar"/>
        </w:rPr>
        <w:t xml:space="preserve">clinical_overlap</w:t>
      </w:r>
      <w:r>
        <w:t xml:space="preserve">, </w:t>
      </w:r>
      <w:r>
        <w:rPr>
          <w:rStyle w:val="CodeChar"/>
        </w:rPr>
        <w:t xml:space="preserve">shared_exposure</w:t>
      </w:r>
      <w:r>
        <w:t xml:space="preserve">, </w:t>
      </w:r>
      <w:r>
        <w:rPr>
          <w:rStyle w:val="CodeChar"/>
        </w:rPr>
        <w:t xml:space="preserve">symptom_overlap</w:t>
      </w:r>
      <w:r>
        <w:t xml:space="preserve">, </w:t>
      </w:r>
      <w:r>
        <w:rPr>
          <w:rStyle w:val="CodeChar"/>
        </w:rPr>
        <w:t xml:space="preserve">mechanistic_hypothesis</w:t>
      </w:r>
      <w:r>
        <w:t xml:space="preserve">) and a one-line rationale with a citation. This rationale is what the PACVS page shows under "why this is surfaced".</w:t>
      </w:r>
    </w:p>
    <w:p>
      <w:pPr/>
      <w:r>
        <w:rPr>
          <w:b/>
        </w:rPr>
        <w:t xml:space="preserve">Phenotype definitions matter.</w:t>
      </w:r>
      <w:r>
        <w:t xml:space="preserve"> Each study row records how cases were defined (e.g. self-reported symptoms at 3 months vs clinician diagnosis). The PACVS page shows whether any source study used a definition compatible with current PACVS case definitions.</w:t>
      </w:r>
    </w:p>
    <w:p>
      <w:pPr>
        <w:pStyle w:val="Heading2"/>
      </w:pPr>
      <w:r>
        <w:t xml:space="preserve">4. Data sources and ingestion</w:t>
      </w:r>
    </w:p>
    <w:p>
      <w:pPr/>
      <w:r>
        <w:t xml:space="preserve">Design around bulk downloads plus a few stable APIs; two EBI endpoints the original proposal assumed are now gone. The old GWAS Catalog summary-statistics API returns HTTP 410 on every path, and the eQTL Catalogue REST API has also been retired with no replacement (</w:t>
      </w:r>
      <w:hyperlink r:id="rId3" w:history="1">
        <w:r>
          <w:rPr>
            <w:rStyle w:val="Hyperlink"/>
          </w:rPr>
          <w:t xml:space="preserve">ToolUniverse #642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#640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Access 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Refresh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GWAS Catalog</w:t>
            </w:r>
          </w:p>
        </w:tc>
        <w:tc>
          <w:tcPr>
            <w:tcW w:w="2340" w:type="dxa"/>
          </w:tcPr>
          <w:p>
            <w:pPr/>
            <w:r>
              <w:t xml:space="preserve">REST API v2 (</w:t>
            </w:r>
            <w:r>
              <w:rPr>
                <w:rStyle w:val="CodeChar"/>
              </w:rPr>
              <w:t xml:space="preserve">/gwas/api/v2/...</w:t>
            </w:r>
            <w:r>
              <w:t xml:space="preserve">) for studies and associations; FTP for harmonised summary statistics</w:t>
            </w:r>
          </w:p>
        </w:tc>
        <w:tc>
          <w:tcPr>
            <w:tcW w:w="2340" w:type="dxa"/>
          </w:tcPr>
          <w:p>
            <w:pPr/>
            <w:r>
              <w:t xml:space="preserve">T1 study discovery, lead associations, study metadata, per-study licence</w:t>
            </w:r>
          </w:p>
        </w:tc>
        <w:tc>
          <w:tcPr>
            <w:tcW w:w="2340" w:type="dxa"/>
          </w:tcPr>
          <w:p>
            <w:pPr/>
            <w:r>
              <w:t xml:space="preserve">Monthly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 Targets Platform</w:t>
            </w:r>
          </w:p>
        </w:tc>
        <w:tc>
          <w:tcPr>
            <w:tcW w:w="2340" w:type="dxa"/>
          </w:tcPr>
          <w:p>
            <w:pPr/>
            <w:r>
              <w:t xml:space="preserve">Bulk Parquet downloads for builds; GraphQL for spot checks</w:t>
            </w:r>
          </w:p>
        </w:tc>
        <w:tc>
          <w:tcPr>
            <w:tcW w:w="2340" w:type="dxa"/>
          </w:tcPr>
          <w:p>
            <w:pPr/>
            <w:r>
              <w:t xml:space="preserve">Credible sets, Locus-to-Gene scores, colocalisation, QTL credible sets</w:t>
            </w:r>
          </w:p>
        </w:tc>
        <w:tc>
          <w:tcPr>
            <w:tcW w:w="2340" w:type="dxa"/>
          </w:tcPr>
          <w:p>
            <w:pPr/>
            <w:r>
              <w:t xml:space="preserve">Per OT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eQTL Catalogue</w:t>
            </w:r>
          </w:p>
        </w:tc>
        <w:tc>
          <w:tcPr>
            <w:tcW w:w="2340" w:type="dxa"/>
          </w:tcPr>
          <w:p>
            <w:pPr/>
            <w:r>
              <w:t xml:space="preserve">Bulk files only</w:t>
            </w:r>
          </w:p>
        </w:tc>
        <w:tc>
          <w:tcPr>
            <w:tcW w:w="2340" w:type="dxa"/>
          </w:tcPr>
          <w:p>
            <w:pPr/>
            <w:r>
              <w:t xml:space="preserve">T3 expression evidence not covered by OT</w:t>
            </w:r>
          </w:p>
        </w:tc>
        <w:tc>
          <w:tcPr>
            <w:tcW w:w="2340" w:type="dxa"/>
          </w:tcPr>
          <w:p>
            <w:pPr/>
            <w:r>
              <w:t xml:space="preserve">Per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COVID-19 HGI</w:t>
            </w:r>
          </w:p>
        </w:tc>
        <w:tc>
          <w:tcPr>
            <w:tcW w:w="2340" w:type="dxa"/>
          </w:tcPr>
          <w:p>
            <w:pPr/>
            <w:r>
              <w:t xml:space="preserve">Release downloads</w:t>
            </w:r>
          </w:p>
        </w:tc>
        <w:tc>
          <w:tcPr>
            <w:tcW w:w="2340" w:type="dxa"/>
          </w:tcPr>
          <w:p>
            <w:pPr/>
            <w:r>
              <w:t xml:space="preserve">Long COVID, severity, susceptibility summary statistics</w:t>
            </w:r>
          </w:p>
        </w:tc>
        <w:tc>
          <w:tcPr>
            <w:tcW w:w="2340" w:type="dxa"/>
          </w:tcPr>
          <w:p>
            <w:pPr/>
            <w:r>
              <w:t xml:space="preserve">Per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IEU OpenGWAS</w:t>
            </w:r>
          </w:p>
        </w:tc>
        <w:tc>
          <w:tcPr>
            <w:tcW w:w="2340" w:type="dxa"/>
          </w:tcPr>
          <w:p>
            <w:pPr/>
            <w:r>
              <w:t xml:space="preserve">API (token required)</w:t>
            </w:r>
          </w:p>
        </w:tc>
        <w:tc>
          <w:tcPr>
            <w:tcW w:w="2340" w:type="dxa"/>
          </w:tcPr>
          <w:p>
            <w:pPr/>
            <w:r>
              <w:t xml:space="preserve">Targeted PheWAS-style lookups of MVP loci across other traits</w:t>
            </w:r>
          </w:p>
        </w:tc>
        <w:tc>
          <w:tcPr>
            <w:tcW w:w="2340" w:type="dxa"/>
          </w:tcPr>
          <w:p>
            <w:pPr/>
            <w:r>
              <w:t xml:space="preserve">On demand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GTEx</w:t>
            </w:r>
          </w:p>
        </w:tc>
        <w:tc>
          <w:tcPr>
            <w:tcW w:w="2340" w:type="dxa"/>
          </w:tcPr>
          <w:p>
            <w:pPr/>
            <w:r>
              <w:t xml:space="preserve">Bulk files</w:t>
            </w:r>
          </w:p>
        </w:tc>
        <w:tc>
          <w:tcPr>
            <w:tcW w:w="2340" w:type="dxa"/>
          </w:tcPr>
          <w:p>
            <w:pPr/>
            <w:r>
              <w:t xml:space="preserve">Tissue context for QTLs</w:t>
            </w:r>
          </w:p>
        </w:tc>
        <w:tc>
          <w:tcPr>
            <w:tcW w:w="2340" w:type="dxa"/>
          </w:tcPr>
          <w:p>
            <w:pPr/>
            <w:r>
              <w:t xml:space="preserve">Per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Reactome, GO</w:t>
            </w:r>
          </w:p>
        </w:tc>
        <w:tc>
          <w:tcPr>
            <w:tcW w:w="2340" w:type="dxa"/>
          </w:tcPr>
          <w:p>
            <w:pPr/>
            <w:r>
              <w:t xml:space="preserve">Bulk files</w:t>
            </w:r>
          </w:p>
        </w:tc>
        <w:tc>
          <w:tcPr>
            <w:tcW w:w="2340" w:type="dxa"/>
          </w:tcPr>
          <w:p>
            <w:pPr/>
            <w:r>
              <w:t xml:space="preserve">Pathway membership</w:t>
            </w:r>
          </w:p>
        </w:tc>
        <w:tc>
          <w:tcPr>
            <w:tcW w:w="2340" w:type="dxa"/>
          </w:tcPr>
          <w:p>
            <w:pPr/>
            <w:r>
              <w:t xml:space="preserve">Pinned per build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Europe PMC</w:t>
            </w:r>
          </w:p>
        </w:tc>
        <w:tc>
          <w:tcPr>
            <w:tcW w:w="2340" w:type="dxa"/>
          </w:tcPr>
          <w:p>
            <w:pPr/>
            <w:r>
              <w:t xml:space="preserve">REST API</w:t>
            </w:r>
          </w:p>
        </w:tc>
        <w:tc>
          <w:tcPr>
            <w:tcW w:w="2340" w:type="dxa"/>
          </w:tcPr>
          <w:p>
            <w:pPr/>
            <w:r>
              <w:t xml:space="preserve">Publication metadata; PACVS literature sweep</w:t>
            </w:r>
          </w:p>
        </w:tc>
        <w:tc>
          <w:tcPr>
            <w:tcW w:w="2340" w:type="dxa"/>
          </w:tcPr>
          <w:p>
            <w:pPr/>
            <w:r>
              <w:t xml:space="preserve">Monthly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Manual curation</w:t>
            </w:r>
          </w:p>
        </w:tc>
        <w:tc>
          <w:tcPr>
            <w:tcW w:w="2340" w:type="dxa"/>
          </w:tcPr>
          <w:p>
            <w:pPr/>
            <w:r>
              <w:t xml:space="preserve">PR-submitted YAML</w:t>
            </w:r>
          </w:p>
        </w:tc>
        <w:tc>
          <w:tcPr>
            <w:tcW w:w="2340" w:type="dxa"/>
          </w:tcPr>
          <w:p>
            <w:pPr/>
            <w:r>
              <w:t xml:space="preserve">Studies not in any catalogue (HLA typing studies, small cohorts, preprints)</w:t>
            </w:r>
          </w:p>
        </w:tc>
        <w:tc>
          <w:tcPr>
            <w:tcW w:w="2340" w:type="dxa"/>
          </w:tcPr>
          <w:p>
            <w:pPr/>
            <w:r>
              <w:t xml:space="preserve">Continuous</w:t>
            </w:r>
          </w:p>
        </w:tc>
      </w:tr>
    </w:tbl>
    <w:p>
      <w:pPr/>
      <w:r>
        <w:rPr>
          <w:b/>
        </w:rPr>
        <w:t xml:space="preserve">Ingestion rules</w:t>
      </w:r>
    </w:p>
    <w:p>
      <w:pPr>
        <w:pStyle w:val="ListParagraph"/>
        <w:numPr>
          <w:ilvl w:val="0"/>
          <w:numId w:val="5"/>
        </w:numPr>
      </w:pPr>
      <w:r>
        <w:t xml:space="preserve">Every build pins source versions in a </w:t>
      </w:r>
      <w:r>
        <w:rPr>
          <w:rStyle w:val="CodeChar"/>
        </w:rPr>
        <w:t xml:space="preserve">manifest.json</w:t>
      </w:r>
      <w:r>
        <w:t xml:space="preserve"> (release ID, download URL, checksum, retrieval date).</w:t>
      </w:r>
    </w:p>
    <w:p>
      <w:pPr>
        <w:pStyle w:val="ListParagraph"/>
        <w:numPr>
          <w:ilvl w:val="0"/>
          <w:numId w:val="5"/>
        </w:numPr>
      </w:pPr>
      <w:r>
        <w:t xml:space="preserve">All coordinates on GRCh38; liftover logged when a source is GRCh37.</w:t>
      </w:r>
    </w:p>
    <w:p>
      <w:pPr>
        <w:pStyle w:val="ListParagraph"/>
        <w:numPr>
          <w:ilvl w:val="0"/>
          <w:numId w:val="5"/>
        </w:numPr>
      </w:pPr>
      <w:r>
        <w:t xml:space="preserve">Alleles harmonised to effect/other allele with strand checks; ambiguous palindromic SNPs flagged, not dropped.</w:t>
      </w:r>
    </w:p>
    <w:p>
      <w:pPr>
        <w:pStyle w:val="ListParagraph"/>
        <w:numPr>
          <w:ilvl w:val="0"/>
          <w:numId w:val="5"/>
        </w:numPr>
      </w:pPr>
      <w:r>
        <w:t xml:space="preserve">Summary statistics are downloaded, queried for MVP loci, and discarded; only extracted rows are committed.</w:t>
      </w:r>
    </w:p>
    <w:p>
      <w:pPr>
        <w:pStyle w:val="ListParagraph"/>
        <w:numPr>
          <w:ilvl w:val="0"/>
          <w:numId w:val="5"/>
        </w:numPr>
      </w:pPr>
      <w:r>
        <w:t xml:space="preserve">A connectivity check at the start of each run fails loudly on a 410/404 rather than producing an empty build.</w:t>
      </w:r>
    </w:p>
    <w:p>
      <w:pPr>
        <w:pStyle w:val="Heading2"/>
      </w:pPr>
      <w:r>
        <w:t xml:space="preserve">5. Data model</w:t>
      </w:r>
    </w:p>
    <w:p>
      <w:pPr/>
      <w:r>
        <w:t xml:space="preserve">The unit of record is the association (one variant, one study, one phenotype); everything else is a lookup table around it. Files are CSV for curated tables and Parquet for derived ones, each with a JSON Schema validated in CI, loaded into DuckDB for site builds.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Primary 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Required fields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phenotypes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phenotype_id</w:t>
            </w:r>
            <w:r>
              <w:t xml:space="preserve"> (slug)</w:t>
            </w:r>
          </w:p>
        </w:tc>
        <w:tc>
          <w:tcPr>
            <w:tcW w:w="3120" w:type="dxa"/>
          </w:tcPr>
          <w:p>
            <w:pPr/>
            <w:r>
              <w:t xml:space="preserve">label, EFO/MONDO IDs, HPO IDs, role (target/source/reference), search_state, last_searched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phenotype_relationships</w:t>
            </w:r>
          </w:p>
        </w:tc>
        <w:tc>
          <w:tcPr>
            <w:tcW w:w="3120" w:type="dxa"/>
          </w:tcPr>
          <w:p>
            <w:pPr/>
            <w:r>
              <w:t xml:space="preserve">(</w:t>
            </w:r>
            <w:r>
              <w:rPr>
                <w:rStyle w:val="CodeChar"/>
              </w:rPr>
              <w:t xml:space="preserve">from_id</w:t>
            </w:r>
            <w:r>
              <w:t xml:space="preserve">, </w:t>
            </w:r>
            <w:r>
              <w:rPr>
                <w:rStyle w:val="CodeChar"/>
              </w:rPr>
              <w:t xml:space="preserve">to_id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relationship_type, rationale, citation_id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study_id</w:t>
            </w:r>
            <w:r>
              <w:t xml:space="preserve"> (GCST or local </w:t>
            </w:r>
            <w:r>
              <w:rPr>
                <w:rStyle w:val="CodeChar"/>
              </w:rPr>
              <w:t xml:space="preserve">OSMF-S-####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phenotype_id, case definition, case N, control N, ancestry, platform, significance threshold, publication_id, summary-stats URL, licence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variant_id</w:t>
            </w:r>
            <w:r>
              <w:t xml:space="preserve"> (</w:t>
            </w:r>
            <w:r>
              <w:rPr>
                <w:rStyle w:val="CodeChar"/>
              </w:rPr>
              <w:t xml:space="preserve">chr_pos_ref_alt</w:t>
            </w:r>
            <w:r>
              <w:t xml:space="preserve">, GRCh38)</w:t>
            </w:r>
          </w:p>
        </w:tc>
        <w:tc>
          <w:tcPr>
            <w:tcW w:w="3120" w:type="dxa"/>
          </w:tcPr>
          <w:p>
            <w:pPr/>
            <w:r>
              <w:t xml:space="preserve">rsID, chrom, pos, ref, alt, MAF by ancestry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associations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assoc_id</w:t>
            </w:r>
          </w:p>
        </w:tc>
        <w:tc>
          <w:tcPr>
            <w:tcW w:w="3120" w:type="dxa"/>
          </w:tcPr>
          <w:p>
            <w:pPr/>
            <w:r>
              <w:t xml:space="preserve">study_id, variant_id, effect_allele, beta or OR, SE or CI, p, tier, replicated, grade, source_id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locus_id</w:t>
            </w:r>
          </w:p>
        </w:tc>
        <w:tc>
          <w:tcPr>
            <w:tcW w:w="3120" w:type="dxa"/>
          </w:tcPr>
          <w:p>
            <w:pPr/>
            <w:r>
              <w:t xml:space="preserve">chrom, start, end, lead variant, definition method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credible_sets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cs_id</w:t>
            </w:r>
          </w:p>
        </w:tc>
        <w:tc>
          <w:tcPr>
            <w:tcW w:w="3120" w:type="dxa"/>
          </w:tcPr>
          <w:p>
            <w:pPr/>
            <w:r>
              <w:t xml:space="preserve">study_id, locus_id, variants with posterior probabilities, method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genes</w:t>
            </w:r>
          </w:p>
        </w:tc>
        <w:tc>
          <w:tcPr>
            <w:tcW w:w="3120" w:type="dxa"/>
          </w:tcPr>
          <w:p>
            <w:pPr/>
            <w:r>
              <w:t xml:space="preserve">Ensembl gene ID</w:t>
            </w:r>
          </w:p>
        </w:tc>
        <w:tc>
          <w:tcPr>
            <w:tcW w:w="3120" w:type="dxa"/>
          </w:tcPr>
          <w:p>
            <w:pPr/>
            <w:r>
              <w:t xml:space="preserve">symbol, biotype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locus_gene</w:t>
            </w:r>
          </w:p>
        </w:tc>
        <w:tc>
          <w:tcPr>
            <w:tcW w:w="3120" w:type="dxa"/>
          </w:tcPr>
          <w:p>
            <w:pPr/>
            <w:r>
              <w:t xml:space="preserve">(</w:t>
            </w:r>
            <w:r>
              <w:rPr>
                <w:rStyle w:val="CodeChar"/>
              </w:rPr>
              <w:t xml:space="preserve">locus_id</w:t>
            </w:r>
            <w:r>
              <w:t xml:space="preserve">, </w:t>
            </w:r>
            <w:r>
              <w:rPr>
                <w:rStyle w:val="CodeChar"/>
              </w:rPr>
              <w:t xml:space="preserve">gene_id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L2G score, nearest-gene flag, coloc evidence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molecular_qtls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qtl_id</w:t>
            </w:r>
          </w:p>
        </w:tc>
        <w:tc>
          <w:tcPr>
            <w:tcW w:w="3120" w:type="dxa"/>
          </w:tcPr>
          <w:p>
            <w:pPr/>
            <w:r>
              <w:t xml:space="preserve">variant_id, gene_id, QTL type (eQTL/pQTL/sQTL), tissue or cell type, effect, p, source_id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pathways</w:t>
            </w:r>
          </w:p>
        </w:tc>
        <w:tc>
          <w:tcPr>
            <w:tcW w:w="3120" w:type="dxa"/>
          </w:tcPr>
          <w:p>
            <w:pPr/>
            <w:r>
              <w:t xml:space="preserve">Reactome/GO ID</w:t>
            </w:r>
          </w:p>
        </w:tc>
        <w:tc>
          <w:tcPr>
            <w:tcW w:w="3120" w:type="dxa"/>
          </w:tcPr>
          <w:p>
            <w:pPr/>
            <w:r>
              <w:t xml:space="preserve">name, gene list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publications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publication_id</w:t>
            </w:r>
            <w:r>
              <w:t xml:space="preserve"> (PMID/DOI)</w:t>
            </w:r>
          </w:p>
        </w:tc>
        <w:tc>
          <w:tcPr>
            <w:tcW w:w="3120" w:type="dxa"/>
          </w:tcPr>
          <w:p>
            <w:pPr/>
            <w:r>
              <w:t xml:space="preserve">title, year, journal, preprint flag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source_id</w:t>
            </w:r>
          </w:p>
        </w:tc>
        <w:tc>
          <w:tcPr>
            <w:tcW w:w="3120" w:type="dxa"/>
          </w:tcPr>
          <w:p>
            <w:pPr/>
            <w:r>
              <w:t xml:space="preserve">name, release, URL, licence, retrieved_at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curation_log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entry_id</w:t>
            </w:r>
          </w:p>
        </w:tc>
        <w:tc>
          <w:tcPr>
            <w:tcW w:w="3120" w:type="dxa"/>
          </w:tcPr>
          <w:p>
            <w:pPr/>
            <w:r>
              <w:t xml:space="preserve">record changed, curator, date, reason</w:t>
            </w:r>
          </w:p>
        </w:tc>
      </w:tr>
    </w:tbl>
    <w:p>
      <w:pPr/>
      <w:r>
        <w:rPr>
          <w:b/>
        </w:rPr>
        <w:t xml:space="preserve">Conventions.</w:t>
      </w:r>
      <w:r>
        <w:t xml:space="preserve"> HLA alleles are stored as variants with a </w:t>
      </w:r>
      <w:r>
        <w:rPr>
          <w:rStyle w:val="CodeChar"/>
        </w:rPr>
        <w:t xml:space="preserve">variant_kind = hla_allele</w:t>
      </w:r>
      <w:r>
        <w:t xml:space="preserve"> and IPD-IMGT/HLA nomenclature, since several vaccine-response findings are allele-level rather than SNP-level. Null or tested-negative lookups are stored as association rows with </w:t>
      </w:r>
      <w:r>
        <w:rPr>
          <w:rStyle w:val="CodeChar"/>
        </w:rPr>
        <w:t xml:space="preserve">result = tested_null</w:t>
      </w:r>
      <w:r>
        <w:t xml:space="preserve">, never omitted.</w:t>
      </w:r>
    </w:p>
    <w:p>
      <w:pPr>
        <w:pStyle w:val="Heading2"/>
      </w:pPr>
      <w:r>
        <w:t xml:space="preserve">6. Pipeline architecture</w:t>
      </w:r>
    </w:p>
    <w:p>
      <w:pPr/>
      <w:r>
        <w:t xml:space="preserve">A Python package (</w:t>
      </w:r>
      <w:r>
        <w:rPr>
          <w:rStyle w:val="CodeChar"/>
        </w:rPr>
        <w:t xml:space="preserve">gce</w:t>
      </w:r>
      <w:r>
        <w:t xml:space="preserve">) with seven async modules builds a static site from pinned inputs, matching the RepurpOS pipeline pattern and hosting on the existing static site.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A[1. Registry&lt;br/&gt;phenotypes + ontologies] --&gt; B[2. Study discovery]</w:t>
        <w:br/>
        <w:t xml:space="preserve">  B --&gt; C[3. Association ingest&lt;br/&gt;+ harmonise]</w:t>
        <w:br/>
        <w:t xml:space="preserve">  C --&gt; D[4. Locus-to-gene&lt;br/&gt;+ QTL layer]</w:t>
        <w:br/>
        <w:t xml:space="preserve">  D --&gt; E[5. Pathways]</w:t>
        <w:br/>
        <w:t xml:space="preserve">  E --&gt; F[6. Grading +&lt;br/&gt;cross-phenotype]</w:t>
        <w:br/>
        <w:t xml:space="preserve">  F --&gt; G[7. Site build&lt;br/&gt;HTML + JSON]</w:t>
        <w:br/>
        <w:t xml:space="preserve">  M[Manual curation PRs] --&gt; B</w:t>
        <w:br/>
        <w:t xml:space="preserve">  M --&gt; C</w:t>
      </w:r>
    </w:p>
    <w:p>
      <w:pPr/>
      <w:r>
        <w:t xml:space="preserve">Data flows left to right; manual curation enters at discovery and ingest so hand-added studies get the same harmonisation and grading.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logic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Registry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phenotypes.csv</w:t>
            </w:r>
          </w:p>
        </w:tc>
        <w:tc>
          <w:tcPr>
            <w:tcW w:w="2340" w:type="dxa"/>
          </w:tcPr>
          <w:p>
            <w:pPr/>
            <w:r>
              <w:t xml:space="preserve">resolved ontology IDs</w:t>
            </w:r>
          </w:p>
        </w:tc>
        <w:tc>
          <w:tcPr>
            <w:tcW w:w="2340" w:type="dxa"/>
          </w:tcPr>
          <w:p>
            <w:pPr/>
            <w:r>
              <w:t xml:space="preserve">Fails if any term is obsolete in the pinned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Study discovery</w:t>
            </w:r>
          </w:p>
        </w:tc>
        <w:tc>
          <w:tcPr>
            <w:tcW w:w="2340" w:type="dxa"/>
          </w:tcPr>
          <w:p>
            <w:pPr/>
            <w:r>
              <w:t xml:space="preserve">EFO/MONDO IDs, Europe PMC queries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studies</w:t>
            </w:r>
          </w:p>
        </w:tc>
        <w:tc>
          <w:tcPr>
            <w:tcW w:w="2340" w:type="dxa"/>
          </w:tcPr>
          <w:p>
            <w:pPr/>
            <w:r>
              <w:t xml:space="preserve">GWAS Catalog v2 + OT study index + curated YAML; dedupes by PMID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Association ingest</w:t>
            </w:r>
          </w:p>
        </w:tc>
        <w:tc>
          <w:tcPr>
            <w:tcW w:w="2340" w:type="dxa"/>
          </w:tcPr>
          <w:p>
            <w:pPr/>
            <w:r>
              <w:t xml:space="preserve">studies, summary-stat files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associations</w:t>
            </w:r>
            <w:r>
              <w:t xml:space="preserve">, </w:t>
            </w:r>
            <w:r>
              <w:rPr>
                <w:rStyle w:val="CodeChar"/>
              </w:rPr>
              <w:t xml:space="preserve">variants</w:t>
            </w:r>
          </w:p>
        </w:tc>
        <w:tc>
          <w:tcPr>
            <w:tcW w:w="2340" w:type="dxa"/>
          </w:tcPr>
          <w:p>
            <w:pPr/>
            <w:r>
              <w:t xml:space="preserve">Harmonise alleles; pull lead hits plus lookups of all MVP loci in every study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Locus-to-gene + QTL</w:t>
            </w:r>
          </w:p>
        </w:tc>
        <w:tc>
          <w:tcPr>
            <w:tcW w:w="2340" w:type="dxa"/>
          </w:tcPr>
          <w:p>
            <w:pPr/>
            <w:r>
              <w:t xml:space="preserve">OT Parquet, eQTL Catalogue files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loci</w:t>
            </w:r>
            <w:r>
              <w:t xml:space="preserve">, </w:t>
            </w:r>
            <w:r>
              <w:rPr>
                <w:rStyle w:val="CodeChar"/>
              </w:rPr>
              <w:t xml:space="preserve">credible_sets</w:t>
            </w:r>
            <w:r>
              <w:t xml:space="preserve">, </w:t>
            </w:r>
            <w:r>
              <w:rPr>
                <w:rStyle w:val="CodeChar"/>
              </w:rPr>
              <w:t xml:space="preserve">locus_gene</w:t>
            </w:r>
            <w:r>
              <w:t xml:space="preserve">, </w:t>
            </w:r>
            <w:r>
              <w:rPr>
                <w:rStyle w:val="CodeChar"/>
              </w:rPr>
              <w:t xml:space="preserve">molecular_qtls</w:t>
            </w:r>
          </w:p>
        </w:tc>
        <w:tc>
          <w:tcPr>
            <w:tcW w:w="2340" w:type="dxa"/>
          </w:tcPr>
          <w:p>
            <w:pPr/>
            <w:r>
              <w:t xml:space="preserve">Prefer OT credible sets; fall back to distance-based locus windows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Pathways</w:t>
            </w:r>
          </w:p>
        </w:tc>
        <w:tc>
          <w:tcPr>
            <w:tcW w:w="2340" w:type="dxa"/>
          </w:tcPr>
          <w:p>
            <w:pPr/>
            <w:r>
              <w:t xml:space="preserve">gene sets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pathways</w:t>
            </w:r>
          </w:p>
        </w:tc>
        <w:tc>
          <w:tcPr>
            <w:tcW w:w="2340" w:type="dxa"/>
          </w:tcPr>
          <w:p>
            <w:pPr/>
            <w:r>
              <w:t xml:space="preserve">Membership only, no enrichment claims in 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 Grading + matrix</w:t>
            </w:r>
          </w:p>
        </w:tc>
        <w:tc>
          <w:tcPr>
            <w:tcW w:w="2340" w:type="dxa"/>
          </w:tcPr>
          <w:p>
            <w:pPr/>
            <w:r>
              <w:t xml:space="preserve">all tables</w:t>
            </w:r>
          </w:p>
        </w:tc>
        <w:tc>
          <w:tcPr>
            <w:tcW w:w="2340" w:type="dxa"/>
          </w:tcPr>
          <w:p>
            <w:pPr/>
            <w:r>
              <w:t xml:space="preserve">grades, matrix cells, evidence-map graph</w:t>
            </w:r>
          </w:p>
        </w:tc>
        <w:tc>
          <w:tcPr>
            <w:tcW w:w="2340" w:type="dxa"/>
          </w:tcPr>
          <w:p>
            <w:pPr/>
            <w:r>
              <w:t xml:space="preserve">Rules in section 2 and 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 Site build</w:t>
            </w:r>
          </w:p>
        </w:tc>
        <w:tc>
          <w:tcPr>
            <w:tcW w:w="2340" w:type="dxa"/>
          </w:tcPr>
          <w:p>
            <w:pPr/>
            <w:r>
              <w:t xml:space="preserve">DuckDB</w:t>
            </w:r>
          </w:p>
        </w:tc>
        <w:tc>
          <w:tcPr>
            <w:tcW w:w="2340" w:type="dxa"/>
          </w:tcPr>
          <w:p>
            <w:pPr/>
            <w:r>
              <w:t xml:space="preserve">static pages, JSON, CSV downloads</w:t>
            </w:r>
          </w:p>
        </w:tc>
        <w:tc>
          <w:tcPr>
            <w:tcW w:w="2340" w:type="dxa"/>
          </w:tcPr>
          <w:p>
            <w:pPr/>
            <w:r>
              <w:t xml:space="preserve">Jinja templates; client-side search index</w:t>
            </w:r>
          </w:p>
        </w:tc>
      </w:tr>
    </w:tbl>
    <w:p>
      <w:pPr/>
      <w:r>
        <w:rPr>
          <w:b/>
        </w:rPr>
        <w:t xml:space="preserve">CI and release</w:t>
      </w:r>
    </w:p>
    <w:p>
      <w:pPr>
        <w:pStyle w:val="ListParagraph"/>
        <w:numPr>
          <w:ilvl w:val="0"/>
          <w:numId w:val="6"/>
        </w:numPr>
      </w:pPr>
      <w:r>
        <w:t xml:space="preserve">Every PR runs schema validation, referential-integrity checks and a grading-rule test suite with fixed fixtures.</w:t>
      </w:r>
    </w:p>
    <w:p>
      <w:pPr>
        <w:pStyle w:val="ListParagraph"/>
        <w:numPr>
          <w:ilvl w:val="0"/>
          <w:numId w:val="6"/>
        </w:numPr>
      </w:pPr>
      <w:r>
        <w:t xml:space="preserve">Builds are reproducible from </w:t>
      </w:r>
      <w:r>
        <w:rPr>
          <w:rStyle w:val="CodeChar"/>
        </w:rPr>
        <w:t xml:space="preserve">manifest.json</w:t>
      </w:r>
      <w:r>
        <w:t xml:space="preserve">; each public release is tagged and archived with a DOI.</w:t>
      </w:r>
    </w:p>
    <w:p>
      <w:pPr>
        <w:pStyle w:val="ListParagraph"/>
        <w:numPr>
          <w:ilvl w:val="0"/>
          <w:numId w:val="6"/>
        </w:numPr>
      </w:pPr>
      <w:r>
        <w:t xml:space="preserve">A diff report per release lists new, changed and removed associations so grade changes are visible.</w:t>
      </w:r>
    </w:p>
    <w:p>
      <w:pPr>
        <w:pStyle w:val="Heading2"/>
      </w:pPr>
      <w:r>
        <w:t xml:space="preserve">7. Cross-phenotype matrix and evidence map</w:t>
      </w:r>
    </w:p>
    <w:p>
      <w:pPr/>
      <w:r>
        <w:t xml:space="preserve">The matrix must distinguish "not tested" from "tested and null"; that distinction is the main thing the explorer adds over existing portals.</w:t>
      </w:r>
    </w:p>
    <w:p>
      <w:pPr/>
      <w:r>
        <w:rPr>
          <w:b/>
        </w:rPr>
        <w:t xml:space="preserve">Matrix rows</w:t>
      </w:r>
      <w:r>
        <w:t xml:space="preserve"> can be set at three levels, switchable in the UI: locus, gene, or pathway. </w:t>
      </w:r>
      <w:r>
        <w:rPr>
          <w:b/>
        </w:rPr>
        <w:t xml:space="preserve">Columns</w:t>
      </w:r>
      <w:r>
        <w:t xml:space="preserve"> are MVP phenotypes.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Cell state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Display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Significant</w:t>
            </w:r>
          </w:p>
        </w:tc>
        <w:tc>
          <w:tcPr>
            <w:tcW w:w="3120" w:type="dxa"/>
          </w:tcPr>
          <w:p>
            <w:pPr/>
            <w:r>
              <w:t xml:space="preserve">≥1 association in the row at the study's threshold</w:t>
            </w:r>
          </w:p>
        </w:tc>
        <w:tc>
          <w:tcPr>
            <w:tcW w:w="3120" w:type="dxa"/>
          </w:tcPr>
          <w:p>
            <w:pPr/>
            <w:r>
              <w:t xml:space="preserve">Filled, with grade letter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Suggestive</w:t>
            </w:r>
          </w:p>
        </w:tc>
        <w:tc>
          <w:tcPr>
            <w:tcW w:w="3120" w:type="dxa"/>
          </w:tcPr>
          <w:p>
            <w:pPr/>
            <w:r>
              <w:t xml:space="preserve">Best p between 5×10⁻⁸ and 1×10⁻⁵</w:t>
            </w:r>
          </w:p>
        </w:tc>
        <w:tc>
          <w:tcPr>
            <w:tcW w:w="3120" w:type="dxa"/>
          </w:tcPr>
          <w:p>
            <w:pPr/>
            <w:r>
              <w:t xml:space="preserve">Half-filled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Tested null</w:t>
            </w:r>
          </w:p>
        </w:tc>
        <w:tc>
          <w:tcPr>
            <w:tcW w:w="3120" w:type="dxa"/>
          </w:tcPr>
          <w:p>
            <w:pPr/>
            <w:r>
              <w:t xml:space="preserve">Summary statistics available for the phenotype and the row's variants show p &gt; 0.05</w:t>
            </w:r>
          </w:p>
        </w:tc>
        <w:tc>
          <w:tcPr>
            <w:tcW w:w="3120" w:type="dxa"/>
          </w:tcPr>
          <w:p>
            <w:pPr/>
            <w:r>
              <w:t xml:space="preserve">Outline with dash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 tested</w:t>
            </w:r>
          </w:p>
        </w:tc>
        <w:tc>
          <w:tcPr>
            <w:tcW w:w="3120" w:type="dxa"/>
          </w:tcPr>
          <w:p>
            <w:pPr/>
            <w:r>
              <w:t xml:space="preserve">No summary statistics cover the row</w:t>
            </w:r>
          </w:p>
        </w:tc>
        <w:tc>
          <w:tcPr>
            <w:tcW w:w="3120" w:type="dxa"/>
          </w:tcPr>
          <w:p>
            <w:pPr/>
            <w:r>
              <w:t xml:space="preserve">Blank with "?"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Conflicting</w:t>
            </w:r>
          </w:p>
        </w:tc>
        <w:tc>
          <w:tcPr>
            <w:tcW w:w="3120" w:type="dxa"/>
          </w:tcPr>
          <w:p>
            <w:pPr/>
            <w:r>
              <w:t xml:space="preserve">Significant in ≥2 studies with opposite effect direction for the same allele</w:t>
            </w:r>
          </w:p>
        </w:tc>
        <w:tc>
          <w:tcPr>
            <w:tcW w:w="3120" w:type="dxa"/>
          </w:tcPr>
          <w:p>
            <w:pPr/>
            <w:r>
              <w:t xml:space="preserve">Warning marker</w:t>
            </w:r>
          </w:p>
        </w:tc>
      </w:tr>
    </w:tbl>
    <w:p>
      <w:pPr/>
      <w:r>
        <w:rPr>
          <w:b/>
        </w:rPr>
        <w:t xml:space="preserve">Overlap definitions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Shared locus:</w:t>
      </w:r>
      <w:r>
        <w:t xml:space="preserve"> credible sets overlap, or colocalisation posterior (H4) ≥ 0.8 where available. Without either, lead variants in LD r² ≥ 0.5 in a matched ancestry panel. Physical proximity alone is labelled "nearby", not "shared".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Shared gene:</w:t>
      </w:r>
      <w:r>
        <w:t xml:space="preserve"> L2G score ≥ 0.5 in both phenotypes, or one L2G ≥ 0.5 plus a QTL for the same gene.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Shared pathway:</w:t>
      </w:r>
      <w:r>
        <w:t xml:space="preserve"> ≥2 genes from a pathway each implicated at the gene level in both phenotypes; shown as descriptive overlap only.</w:t>
      </w:r>
    </w:p>
    <w:p>
      <w:pPr/>
      <w:r>
        <w:rPr>
          <w:b/>
        </w:rPr>
        <w:t xml:space="preserve">Evidence map.</w:t>
      </w:r>
      <w:r>
        <w:t xml:space="preserve"> The PACVS evidence map is a graph: PACVS → related phenotypes (edge = relationship rationale) → shared loci → genes → pathways, with gap nodes where a related phenotype has no data. Conflicting edges render in a distinct style. Each node links to its record page.</w:t>
      </w:r>
    </w:p>
    <w:p>
      <w:pPr/>
      <w:r>
        <w:rPr>
          <w:b/>
        </w:rPr>
        <w:t xml:space="preserve">Genetic correlation (post-MVP).</w:t>
      </w:r>
      <w:r>
        <w:t xml:space="preserve"> LD-score genetic correlations between phenotypes with public summary statistics would add a genome-wide overlap measure; it is deferred because PACVS itself has no summary statistics.</w:t>
      </w:r>
    </w:p>
    <w:p>
      <w:pPr>
        <w:pStyle w:val="Heading2"/>
      </w:pPr>
      <w:r>
        <w:t xml:space="preserve">8. Site pages</w:t>
      </w:r>
    </w:p>
    <w:p>
      <w:pPr/>
      <w:r>
        <w:t xml:space="preserve">Six page types under </w:t>
      </w:r>
      <w:r>
        <w:rPr>
          <w:rStyle w:val="CodeChar"/>
        </w:rPr>
        <w:t xml:space="preserve">/genetics/</w:t>
      </w:r>
      <w:r>
        <w:t xml:space="preserve">, all static HTML with embedded JSON, so the explorer works without a backend.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 pattern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Index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</w:t>
            </w:r>
          </w:p>
        </w:tc>
        <w:tc>
          <w:tcPr>
            <w:tcW w:w="3120" w:type="dxa"/>
          </w:tcPr>
          <w:p>
            <w:pPr/>
            <w:r>
              <w:t xml:space="preserve">Search box (phenotype, rsID, gene), phenotype cards with search state and last-searched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Phenotype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/genetics/phenotype/{id}.html</w:t>
            </w:r>
          </w:p>
        </w:tc>
        <w:tc>
          <w:tcPr>
            <w:tcW w:w="3120" w:type="dxa"/>
          </w:tcPr>
          <w:p>
            <w:pPr/>
            <w:r>
              <w:t xml:space="preserve">Search state banner; association table (trait, variant, gene, effect, p, grade, tier, source); study list with N, ancestry and case definition; related phenotypes with rationale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PACVS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/genetics/phenotype/pacvs.html</w:t>
            </w:r>
          </w:p>
        </w:tc>
        <w:tc>
          <w:tcPr>
            <w:tcW w:w="3120" w:type="dxa"/>
          </w:tcPr>
          <w:p>
            <w:pPr/>
            <w:r>
              <w:t xml:space="preserve">Phenotype template plus the evidence map, a "what would close this gap" panel and case-definition compatibility 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Variant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/genetics/variant/{variant_id}.html</w:t>
            </w:r>
          </w:p>
        </w:tc>
        <w:tc>
          <w:tcPr>
            <w:tcW w:w="3120" w:type="dxa"/>
          </w:tcPr>
          <w:p>
            <w:pPr/>
            <w:r>
              <w:t xml:space="preserve">Associations across all phenotypes (tested-null included), credible-set membership, QTLs by tissue, linked genes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/genetics/gene/{ensembl_id}.html</w:t>
            </w:r>
          </w:p>
        </w:tc>
        <w:tc>
          <w:tcPr>
            <w:tcW w:w="3120" w:type="dxa"/>
          </w:tcPr>
          <w:p>
            <w:pPr/>
            <w:r>
              <w:t xml:space="preserve">Loci pointing to the gene, L2G scores, QTLs, pathways, link to RepurpOS target and drug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Matrix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/genetics/matrix.html</w:t>
            </w:r>
          </w:p>
        </w:tc>
        <w:tc>
          <w:tcPr>
            <w:tcW w:w="3120" w:type="dxa"/>
          </w:tcPr>
          <w:p>
            <w:pPr/>
            <w:r>
              <w:t xml:space="preserve">Cross-phenotype matrix with locus/gene/pathway toggle and tier filter</w:t>
            </w:r>
          </w:p>
        </w:tc>
      </w:tr>
    </w:tbl>
    <w:p>
      <w:pPr/>
      <w:r>
        <w:rPr>
          <w:b/>
        </w:rPr>
        <w:t xml:space="preserve">UI rules</w:t>
      </w:r>
    </w:p>
    <w:p>
      <w:pPr>
        <w:pStyle w:val="ListParagraph"/>
        <w:numPr>
          <w:ilvl w:val="0"/>
          <w:numId w:val="8"/>
        </w:numPr>
      </w:pPr>
      <w:r>
        <w:t xml:space="preserve">Tier is shown on every row as a text label, not colour alone; T2 rows on the PACVS page always name the source phenotype.</w:t>
      </w:r>
    </w:p>
    <w:p>
      <w:pPr>
        <w:pStyle w:val="ListParagraph"/>
        <w:numPr>
          <w:ilvl w:val="0"/>
          <w:numId w:val="8"/>
        </w:numPr>
      </w:pPr>
      <w:r>
        <w:t xml:space="preserve">Default filter shows T1 and T2; T3 is opt-in.</w:t>
      </w:r>
    </w:p>
    <w:p>
      <w:pPr>
        <w:pStyle w:val="ListParagraph"/>
        <w:numPr>
          <w:ilvl w:val="0"/>
          <w:numId w:val="8"/>
        </w:numPr>
      </w:pPr>
      <w:r>
        <w:t xml:space="preserve">Every table has CSV download and a citation string for the release.</w:t>
      </w:r>
    </w:p>
    <w:p>
      <w:pPr>
        <w:pStyle w:val="ListParagraph"/>
        <w:numPr>
          <w:ilvl w:val="0"/>
          <w:numId w:val="8"/>
        </w:numPr>
      </w:pPr>
      <w:r>
        <w:t xml:space="preserve">Search states render as full-width banners with the search date and the query sources used.</w:t>
      </w:r>
    </w:p>
    <w:p>
      <w:pPr>
        <w:pStyle w:val="ListParagraph"/>
        <w:numPr>
          <w:ilvl w:val="0"/>
          <w:numId w:val="8"/>
        </w:numPr>
      </w:pPr>
      <w:r>
        <w:t xml:space="preserve">A persistent footer states the tool is for research and does not assess individual risk.</w:t>
      </w:r>
    </w:p>
    <w:p>
      <w:pPr>
        <w:pStyle w:val="Heading2"/>
      </w:pPr>
      <w:r>
        <w:t xml:space="preserve">9. Provenance, licensing and framing</w:t>
      </w:r>
    </w:p>
    <w:p>
      <w:pPr/>
      <w:r>
        <w:t xml:space="preserve">Every displayed number traces to a source release and retrieval date, and the curated layer is released under CC BY 4.0 like the PAIS cohort database.</w:t>
      </w:r>
    </w:p>
    <w:p>
      <w:pPr/>
      <w:r>
        <w:rPr>
          <w:b/>
        </w:rPr>
        <w:t xml:space="preserve">Licensing</w:t>
      </w:r>
    </w:p>
    <w:p>
      <w:pPr>
        <w:pStyle w:val="ListParagraph"/>
        <w:numPr>
          <w:ilvl w:val="0"/>
          <w:numId w:val="9"/>
        </w:numPr>
      </w:pPr>
      <w:r>
        <w:t xml:space="preserve">Open Targets data are CC0, but underlying sources can carry their own terms; the </w:t>
      </w:r>
      <w:r>
        <w:rPr>
          <w:rStyle w:val="CodeChar"/>
        </w:rPr>
        <w:t xml:space="preserve">sources</w:t>
      </w:r>
      <w:r>
        <w:t xml:space="preserve"> table records the licence per upstream source.</w:t>
      </w:r>
    </w:p>
    <w:p>
      <w:pPr>
        <w:pStyle w:val="ListParagraph"/>
        <w:numPr>
          <w:ilvl w:val="0"/>
          <w:numId w:val="9"/>
        </w:numPr>
      </w:pPr>
      <w:r>
        <w:t xml:space="preserve">GWAS Catalog summary statistics carry per-study licences; the v2 API exposes them, and the </w:t>
      </w:r>
      <w:r>
        <w:rPr>
          <w:rStyle w:val="CodeChar"/>
        </w:rPr>
        <w:t xml:space="preserve">studies.licence</w:t>
      </w:r>
      <w:r>
        <w:t xml:space="preserve"> field must be filled before any extracted rows are committed.</w:t>
      </w:r>
    </w:p>
    <w:p>
      <w:pPr>
        <w:pStyle w:val="ListParagraph"/>
        <w:numPr>
          <w:ilvl w:val="0"/>
          <w:numId w:val="9"/>
        </w:numPr>
      </w:pPr>
      <w:r>
        <w:t xml:space="preserve">Studies with restrictive or unknown licences contribute metadata and lead hits only, with a link out.</w:t>
      </w:r>
    </w:p>
    <w:p>
      <w:pPr/>
      <w:r>
        <w:rPr>
          <w:b/>
        </w:rPr>
        <w:t xml:space="preserve">Framing requirements</w:t>
      </w:r>
    </w:p>
    <w:p>
      <w:pPr>
        <w:pStyle w:val="ListParagraph"/>
        <w:numPr>
          <w:ilvl w:val="0"/>
          <w:numId w:val="10"/>
        </w:numPr>
      </w:pPr>
      <w:r>
        <w:t xml:space="preserve">Page titles and copy say "genetic evidence" or "association", never "cause" or "risk gene".</w:t>
      </w:r>
    </w:p>
    <w:p>
      <w:pPr>
        <w:pStyle w:val="ListParagraph"/>
        <w:numPr>
          <w:ilvl w:val="0"/>
          <w:numId w:val="10"/>
        </w:numPr>
      </w:pPr>
      <w:r>
        <w:t xml:space="preserve">T2 findings on the PACVS page carry the sentence "This finding comes from [phenotype], not from PACVS cases".</w:t>
      </w:r>
    </w:p>
    <w:p>
      <w:pPr>
        <w:pStyle w:val="ListParagraph"/>
        <w:numPr>
          <w:ilvl w:val="0"/>
          <w:numId w:val="10"/>
        </w:numPr>
      </w:pPr>
      <w:r>
        <w:t xml:space="preserve">No per-person interpretation, no genotype upload, no risk calculators.</w:t>
      </w:r>
    </w:p>
    <w:p>
      <w:pPr>
        <w:pStyle w:val="ListParagraph"/>
        <w:numPr>
          <w:ilvl w:val="0"/>
          <w:numId w:val="10"/>
        </w:numPr>
      </w:pPr>
      <w:r>
        <w:t xml:space="preserve">Methods page documents grading rules, overlap thresholds and search queries, versioned with each release.</w:t>
      </w:r>
    </w:p>
    <w:p>
      <w:pPr/>
      <w:r>
        <w:rPr>
          <w:b/>
        </w:rPr>
        <w:t xml:space="preserve">Corrections.</w:t>
      </w:r>
      <w:r>
        <w:t xml:space="preserve"> Errors are reported through a GitHub issue template; fixes land by PR and appear in the release diff and </w:t>
      </w:r>
      <w:r>
        <w:rPr>
          <w:rStyle w:val="CodeChar"/>
        </w:rPr>
        <w:t xml:space="preserve">curation_log</w:t>
      </w:r>
      <w:r>
        <w:t xml:space="preserve">.</w:t>
      </w:r>
    </w:p>
    <w:p>
      <w:pPr>
        <w:pStyle w:val="Heading2"/>
      </w:pPr>
      <w:r>
        <w:t xml:space="preserve">10. Milestones and acceptance criteria</w:t>
      </w:r>
    </w:p>
    <w:p>
      <w:pPr/>
      <w:r>
        <w:t xml:space="preserve">Five milestones take the explorer from schema to a public PACVS evidence map; each ends in a tagged release.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M0 Foundations</w:t>
            </w:r>
          </w:p>
        </w:tc>
        <w:tc>
          <w:tcPr>
            <w:tcW w:w="3120" w:type="dxa"/>
          </w:tcPr>
          <w:p>
            <w:pPr/>
            <w:r>
              <w:t xml:space="preserve">Repo, schemas, CI, </w:t>
            </w:r>
            <w:r>
              <w:rPr>
                <w:rStyle w:val="CodeChar"/>
              </w:rPr>
              <w:t xml:space="preserve">manifest.json</w:t>
            </w:r>
            <w:r>
              <w:t xml:space="preserve">, phenotype registry</w:t>
            </w:r>
          </w:p>
        </w:tc>
        <w:tc>
          <w:tcPr>
            <w:tcW w:w="3120" w:type="dxa"/>
          </w:tcPr>
          <w:p>
            <w:pPr/>
            <w:r>
              <w:t xml:space="preserve">All 7 MVP phenotypes resolve to current EFO/MONDO/HPO terms; CI rejects a malformed fixture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 Long COVID vertical slice</w:t>
            </w:r>
          </w:p>
        </w:tc>
        <w:tc>
          <w:tcPr>
            <w:tcW w:w="3120" w:type="dxa"/>
          </w:tcPr>
          <w:p>
            <w:pPr/>
            <w:r>
              <w:t xml:space="preserve">Modules 1–3 and 7 for Long COVID only; phenotype and variant pages</w:t>
            </w:r>
          </w:p>
        </w:tc>
        <w:tc>
          <w:tcPr>
            <w:tcW w:w="3120" w:type="dxa"/>
          </w:tcPr>
          <w:p>
            <w:pPr/>
            <w:r>
              <w:t xml:space="preserve">FOXP4 lead association reproduces the published effect and p within rounding; every row has a source and licence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 All MVP phenotypes</w:t>
            </w:r>
          </w:p>
        </w:tc>
        <w:tc>
          <w:tcPr>
            <w:tcW w:w="3120" w:type="dxa"/>
          </w:tcPr>
          <w:p>
            <w:pPr/>
            <w:r>
              <w:t xml:space="preserve">Discovery and ingest for all phenotypes; PACVS literature sweep; HLA allele support</w:t>
            </w:r>
          </w:p>
        </w:tc>
        <w:tc>
          <w:tcPr>
            <w:tcW w:w="3120" w:type="dxa"/>
          </w:tcPr>
          <w:p>
            <w:pPr/>
            <w:r>
              <w:t xml:space="preserve">Every phenotype has a non-</w:t>
            </w:r>
            <w:r>
              <w:rPr>
                <w:rStyle w:val="CodeChar"/>
              </w:rPr>
              <w:t xml:space="preserve">not_searched</w:t>
            </w:r>
            <w:r>
              <w:t xml:space="preserve"> state; PACVS search is logged with date, queries and sources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 Functional layer</w:t>
            </w:r>
          </w:p>
        </w:tc>
        <w:tc>
          <w:tcPr>
            <w:tcW w:w="3120" w:type="dxa"/>
          </w:tcPr>
          <w:p>
            <w:pPr/>
            <w:r>
              <w:t xml:space="preserve">Module 4–5; gene pages; T3 evidence</w:t>
            </w:r>
          </w:p>
        </w:tc>
        <w:tc>
          <w:tcPr>
            <w:tcW w:w="3120" w:type="dxa"/>
          </w:tcPr>
          <w:p>
            <w:pPr/>
            <w:r>
              <w:t xml:space="preserve">Each MVP locus has credible-set or window definition, top L2G gene, and QTLs where available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 Matrix + evidence map</w:t>
            </w:r>
          </w:p>
        </w:tc>
        <w:tc>
          <w:tcPr>
            <w:tcW w:w="3120" w:type="dxa"/>
          </w:tcPr>
          <w:p>
            <w:pPr/>
            <w:r>
              <w:t xml:space="preserve">Module 6; matrix and PACVS evidence map; methods page</w:t>
            </w:r>
          </w:p>
        </w:tc>
        <w:tc>
          <w:tcPr>
            <w:tcW w:w="3120" w:type="dxa"/>
          </w:tcPr>
          <w:p>
            <w:pPr/>
            <w:r>
              <w:t xml:space="preserve">All five cell states appear in the fixture test; tested-null vs not-tested verified by hand on 10 random cells</w:t>
            </w:r>
          </w:p>
        </w:tc>
      </w:tr>
    </w:tbl>
    <w:p>
      <w:pPr/>
      <w:r>
        <w:rPr>
          <w:b/>
        </w:rPr>
        <w:t xml:space="preserve">Public launch</w:t>
      </w:r>
      <w:r>
        <w:t xml:space="preserve"> follows M4, with a DOI-archived release, a methods page, and a short explainer thread.</w:t>
      </w:r>
    </w:p>
    <w:p>
      <w:pPr>
        <w:pStyle w:val="Heading2"/>
      </w:pPr>
      <w:r>
        <w:t xml:space="preserve">11. Open questions</w:t>
      </w:r>
    </w:p>
    <w:p>
      <w:pPr>
        <w:pStyle w:val="ListParagraph"/>
        <w:numPr>
          <w:ilvl w:val="0"/>
          <w:numId w:val="11"/>
        </w:numPr>
      </w:pPr>
      <w:r>
        <w:t xml:space="preserve">☐ Which PACVS case definition does the site treat as reference for compatibility notes?</w:t>
      </w:r>
    </w:p>
    <w:p>
      <w:pPr>
        <w:pStyle w:val="ListParagraph"/>
        <w:numPr>
          <w:ilvl w:val="0"/>
          <w:numId w:val="11"/>
        </w:numPr>
      </w:pPr>
      <w:r>
        <w:t xml:space="preserve">☐ Include preprints (e.g. unpublished DecodeME results) as T1, or hold them at a lower grade until peer review?</w:t>
      </w:r>
    </w:p>
    <w:p>
      <w:pPr>
        <w:pStyle w:val="ListParagraph"/>
        <w:numPr>
          <w:ilvl w:val="0"/>
          <w:numId w:val="11"/>
        </w:numPr>
      </w:pPr>
      <w:r>
        <w:t xml:space="preserve">☐ Should COVID-19 severity and susceptibility get full phenotype pages, or appear only as reference columns in the matrix?</w:t>
      </w:r>
    </w:p>
    <w:p>
      <w:pPr>
        <w:pStyle w:val="ListParagraph"/>
        <w:numPr>
          <w:ilvl w:val="0"/>
          <w:numId w:val="11"/>
        </w:numPr>
      </w:pPr>
      <w:r>
        <w:t xml:space="preserve">☐ OpenGWAS access needs an API token; whose account owns it for automated builds?</w:t>
      </w:r>
    </w:p>
    <w:p>
      <w:pPr>
        <w:pStyle w:val="ListParagraph"/>
        <w:numPr>
          <w:ilvl w:val="0"/>
          <w:numId w:val="11"/>
        </w:numPr>
      </w:pPr>
      <w:r>
        <w:t xml:space="preserve">☐ Accept community-submitted studies from non-authors, or require an author or curator to sign off?</w:t>
      </w:r>
    </w:p>
    <w:p>
      <w:pPr>
        <w:pStyle w:val="ListParagraph"/>
        <w:numPr>
          <w:ilvl w:val="0"/>
          <w:numId w:val="11"/>
        </w:numPr>
      </w:pPr>
      <w:r>
        <w:t xml:space="preserve">☐ Do the overlap thresholds in section 7 (H4 ≥ 0.8, L2G ≥ 0.5, r² ≥ 0.5) need review by a statistical geneticist before launch?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2"/>
        </w:numPr>
      </w:pPr>
      <w:hyperlink r:id="rId5" w:history="1">
        <w:r>
          <w:rPr>
            <w:rStyle w:val="Hyperlink"/>
          </w:rPr>
          <w:t xml:space="preserve">GWAS Catalog</w:t>
        </w:r>
      </w:hyperlink>
    </w:p>
    <w:p>
      <w:pPr>
        <w:pStyle w:val="ListParagraph"/>
        <w:numPr>
          <w:ilvl w:val="0"/>
          <w:numId w:val="12"/>
        </w:numPr>
      </w:pPr>
      <w:hyperlink r:id="rId3" w:history="1">
        <w:r>
          <w:rPr>
            <w:rStyle w:val="Hyperlink"/>
          </w:rPr>
          <w:t xml:space="preserve">ToolUniverse PR #642 — GWAS summary-statistics API returns 410; move to v2</w:t>
        </w:r>
      </w:hyperlink>
    </w:p>
    <w:p>
      <w:pPr>
        <w:pStyle w:val="ListParagraph"/>
        <w:numPr>
          <w:ilvl w:val="0"/>
          <w:numId w:val="12"/>
        </w:numPr>
      </w:pPr>
      <w:hyperlink r:id="rId4" w:history="1">
        <w:r>
          <w:rPr>
            <w:rStyle w:val="Hyperlink"/>
          </w:rPr>
          <w:t xml:space="preserve">ToolUniverse PR #640 — eQTL Catalogue REST API retired</w:t>
        </w:r>
      </w:hyperlink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Open Targets Platform licence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Long COVID GWAS, Nature Genetics 2025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mims-harvard/ToolUniverse/pull/642" TargetMode="External"/><Relationship Id="rId4" Type="http://schemas.openxmlformats.org/officeDocument/2006/relationships/hyperlink" Target="https://github.com/mims-harvard/ToolUniverse/pull/640" TargetMode="External"/><Relationship Id="rId5" Type="http://schemas.openxmlformats.org/officeDocument/2006/relationships/hyperlink" Target="https://www.ebi.ac.uk/gwas/" TargetMode="External"/><Relationship Id="rId6" Type="http://schemas.openxmlformats.org/officeDocument/2006/relationships/hyperlink" Target="https://platform-docs.opentargets.org/licence" TargetMode="External"/><Relationship Id="rId7" Type="http://schemas.openxmlformats.org/officeDocument/2006/relationships/hyperlink" Target="https://www.nature.com/articles/s41588-025-02100-w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Genetic Correlates Explorer — Build Spec</dc:title>
  <dc:description>Claude Docs node/450ad6b2-d946@13 docx-w5</dc:description>
  <cp:revision>13</cp:revision>
</cp:coreProperties>
</file>