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6943" w:rsidRDefault="00626C33">
      <w:r>
        <w:rPr>
          <w:rFonts w:ascii="Courier New" w:eastAsia="Courier New" w:hAnsi="Courier New" w:cs="Courier New"/>
          <w:b/>
        </w:rPr>
        <w:t>6. List, and description of your test/scratch programs. There will be at least 3 of them.</w:t>
      </w:r>
    </w:p>
    <w:p w:rsidR="00236943" w:rsidRPr="00626C33" w:rsidRDefault="00626C33" w:rsidP="00626C33">
      <w:pPr>
        <w:jc w:val="right"/>
        <w:rPr>
          <w:rFonts w:ascii="Courier New" w:eastAsia="Courier New" w:hAnsi="Courier New" w:cs="Courier New"/>
          <w:i/>
        </w:rPr>
      </w:pPr>
      <w:r w:rsidRPr="00F4710E">
        <w:rPr>
          <w:rFonts w:ascii="Courier New" w:eastAsia="Courier New" w:hAnsi="Courier New" w:cs="Courier New"/>
        </w:rPr>
        <w:t xml:space="preserve">Name: </w:t>
      </w:r>
      <w:r w:rsidRPr="00F4710E">
        <w:rPr>
          <w:rFonts w:ascii="Courier New" w:eastAsia="Courier New" w:hAnsi="Courier New" w:cs="Courier New"/>
          <w:i/>
        </w:rPr>
        <w:t>Matthew Meade and Abhinav Agrahari</w:t>
      </w:r>
      <w:bookmarkStart w:id="0" w:name="_GoBack"/>
      <w:bookmarkEnd w:id="0"/>
    </w:p>
    <w:p w:rsidR="00236943" w:rsidRDefault="00236943"/>
    <w:tbl>
      <w:tblPr>
        <w:tblStyle w:val="a"/>
        <w:tblW w:w="9795" w:type="dxa"/>
        <w:tblInd w:w="-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010"/>
      </w:tblGrid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pPr>
              <w:jc w:val="center"/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Scratch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pPr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Description/Concept needed to be Tested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"Box2D"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Multiple attempts to use Box2D, we gave up eventually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"Button_SpritesheetAnd_array_of_sounds”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To test the concept of a give up Button with an arrayList of Images and array of sounds.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"circle_that_looks_at_you"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This is an old version of “the eye” that unsuccessfully uses atan2()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"collisionWithArrayLists"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A square collides with an arrayList of boxe</w:t>
            </w:r>
            <w:r>
              <w:rPr>
                <w:rFonts w:ascii="Courier New" w:eastAsia="Courier New" w:hAnsi="Courier New" w:cs="Courier New"/>
              </w:rPr>
              <w:t>s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“collisionWithArrayLists_and_gravity"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An updated version of the scratch above; this one includes gravity as that was the reason we needed this scratch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 xml:space="preserve">"Extra\arrayOfWalls_looping"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An early scratch to use a for loop to add walls to an arrayList and then display them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 xml:space="preserve">"Extra\Clone_trooper_Classes_not_really_extending"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One of the many versions of trying to use inheritance for the levels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"Extra\Clone_trooper_DontGiveUp_testing_out_cla</w:t>
            </w:r>
            <w:r>
              <w:rPr>
                <w:rFonts w:ascii="Courier New" w:eastAsia="Courier New" w:hAnsi="Courier New" w:cs="Courier New"/>
              </w:rPr>
              <w:t>ss_extends"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One of the many versions of trying to use inheritance for the levels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 xml:space="preserve">"Extra\Clone_trooper_testing_out_class_extends_Grondins_ver"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Mr. Grondin’s version of trying to use inheritance for the levels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"Extra\Clone_trooper_testing_out_class_extend</w:t>
            </w:r>
            <w:r>
              <w:rPr>
                <w:rFonts w:ascii="Courier New" w:eastAsia="Courier New" w:hAnsi="Courier New" w:cs="Courier New"/>
              </w:rPr>
              <w:t>s_ver2”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One of the many versions of trying to use inheritance for the levels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"Extra\Clone_trooper_testing_out_class_extends_ver3"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One of the many versions of trying to use inheritance for the levels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"Extra\Clone_trooper_testing_out_class_extends_ver4"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One of the many versions of trying to use inheritance for the levels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"Extra\Clone_trooper_testing_out_c</w:t>
            </w:r>
            <w:r>
              <w:rPr>
                <w:rFonts w:ascii="Courier New" w:eastAsia="Courier New" w:hAnsi="Courier New" w:cs="Courier New"/>
              </w:rPr>
              <w:lastRenderedPageBreak/>
              <w:t>lass_extends_ver5”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lastRenderedPageBreak/>
              <w:t xml:space="preserve">One of the many versions of trying </w:t>
            </w:r>
            <w:r>
              <w:rPr>
                <w:rFonts w:ascii="Courier New" w:eastAsia="Courier New" w:hAnsi="Courier New" w:cs="Courier New"/>
              </w:rPr>
              <w:lastRenderedPageBreak/>
              <w:t>to use inheritance for the levels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lastRenderedPageBreak/>
              <w:t>"Extra\gravity_theOldWay"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Our original way of adding gravity (p</w:t>
            </w:r>
            <w:r>
              <w:rPr>
                <w:rFonts w:ascii="Courier New" w:eastAsia="Courier New" w:hAnsi="Courier New" w:cs="Courier New"/>
              </w:rPr>
              <w:t>hysics) to our game (messy code, the canJump variable should have been named “isJumping”)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 xml:space="preserve">"Extra\loadJSONArray_levels" 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A scratch to load JSON files into a JSONArray and using JSONObjects to create our levels (draws multiple levels)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"Extra\loadJSONArray</w:t>
            </w:r>
            <w:r>
              <w:rPr>
                <w:rFonts w:ascii="Courier New" w:eastAsia="Courier New" w:hAnsi="Courier New" w:cs="Courier New"/>
              </w:rPr>
              <w:t xml:space="preserve">_other"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A scratch heavily borrowed from Processing to understand how JSON files are parsed. (just outputs text to the console)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"Extra\scrolling_RightAndLeft_Work"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 xml:space="preserve">Testing out and understanding the borrowed scrolling function from </w:t>
            </w:r>
            <w:hyperlink r:id="rId5">
              <w:r>
                <w:rPr>
                  <w:rFonts w:ascii="Courier New" w:eastAsia="Courier New" w:hAnsi="Courier New" w:cs="Courier New"/>
                  <w:color w:val="1155CC"/>
                  <w:u w:val="single"/>
                </w:rPr>
                <w:t>http://www.hobbygamedev.com/</w:t>
              </w:r>
            </w:hyperlink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 xml:space="preserve">"Extra\show_part_of_an_image" 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A scratch not used in our game, it was for the give up button to show only part of an image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"eye_moves_ver2"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an updated version of "</w:t>
            </w:r>
            <w:r>
              <w:rPr>
                <w:rFonts w:ascii="Courier New" w:eastAsia="Courier New" w:hAnsi="Courier New" w:cs="Courier New"/>
              </w:rPr>
              <w:t>circle_that_looks_at_you" This is an old version of “the eye” that unsuccessfully uses vectors to “look” at the user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"Laser_gun"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 xml:space="preserve">Uses atan2() to (finally!) rotate an image to appear aimed at the user 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"loadAndSaveJSON"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Scratch for Input / Output of a JSO</w:t>
            </w:r>
            <w:r>
              <w:rPr>
                <w:rFonts w:ascii="Courier New" w:eastAsia="Courier New" w:hAnsi="Courier New" w:cs="Courier New"/>
              </w:rPr>
              <w:t>N file to save user’s name - to see if the user has already played or not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"loadAndSaveStrings"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Scratch for Input / Output of a Textfile to save user’s name - to see if the user has already played or not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"loadJSONArray_levels_split" -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Scratch to load JSON files into a JSONArray and using JSONObjects to create our levels (draws multiple levels). Also uses splitTokens to process the String of coordinates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lastRenderedPageBreak/>
              <w:t>“Parallax_Scrolling"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Scratch to test Parallax Scrolling - achieved by translating im</w:t>
            </w:r>
            <w:r>
              <w:rPr>
                <w:rFonts w:ascii="Courier New" w:eastAsia="Courier New" w:hAnsi="Courier New" w:cs="Courier New"/>
              </w:rPr>
              <w:t>ages at different rates relative to the cameraOffset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"scrolling_AllDirections_Work"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 xml:space="preserve">We added scrolling along the “y” axis to the camera function that was found at </w:t>
            </w:r>
            <w:hyperlink r:id="rId6">
              <w:r>
                <w:rPr>
                  <w:rFonts w:ascii="Courier New" w:eastAsia="Courier New" w:hAnsi="Courier New" w:cs="Courier New"/>
                  <w:color w:val="1155CC"/>
                  <w:u w:val="single"/>
                </w:rPr>
                <w:t>http://www.hobbygamedev.com/</w:t>
              </w:r>
            </w:hyperlink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"scrolling_ri</w:t>
            </w:r>
            <w:r>
              <w:rPr>
                <w:rFonts w:ascii="Courier New" w:eastAsia="Courier New" w:hAnsi="Courier New" w:cs="Courier New"/>
              </w:rPr>
              <w:t>ghtWorks_notLeft"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Our original method of scrolling: player doesn’t move unless the camera has reached the edge (it didn’t work)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"spritesheet_character"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 xml:space="preserve">This was a scratch to test the concept of a spritesheet and cycling through the arrayList based on key </w:t>
            </w:r>
            <w:r>
              <w:rPr>
                <w:rFonts w:ascii="Courier New" w:eastAsia="Courier New" w:hAnsi="Courier New" w:cs="Courier New"/>
              </w:rPr>
              <w:t>inputs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"spritesheet_crab"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The same as above, but with our spritesheet of a crab that Matt designed. We did this just to make sure that everything worked out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"spritesheet_explosion"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Scratch for calling animations on demand (such as the door that we will have to animate)</w:t>
            </w:r>
          </w:p>
        </w:tc>
      </w:tr>
      <w:tr w:rsidR="00236943"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"Stationary_Eye_That_Looks_FINAL"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Scratch that uses Vectors to make the eye look at the user</w:t>
            </w:r>
          </w:p>
        </w:tc>
      </w:tr>
      <w:tr w:rsidR="00236943">
        <w:trPr>
          <w:trHeight w:val="2540"/>
        </w:trPr>
        <w:tc>
          <w:tcPr>
            <w:tcW w:w="4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"Video_failed"</w:t>
            </w:r>
          </w:p>
        </w:tc>
        <w:tc>
          <w:tcPr>
            <w:tcW w:w="5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43" w:rsidRDefault="00626C33">
            <w:r>
              <w:rPr>
                <w:rFonts w:ascii="Courier New" w:eastAsia="Courier New" w:hAnsi="Courier New" w:cs="Courier New"/>
              </w:rPr>
              <w:t>We were originally thinking of playing a video for our gi</w:t>
            </w:r>
            <w:r>
              <w:rPr>
                <w:rFonts w:ascii="Courier New" w:eastAsia="Courier New" w:hAnsi="Courier New" w:cs="Courier New"/>
              </w:rPr>
              <w:t>ve up button. To test this, we used the video library from processing but unfortunately… this program does not work on the school computers. It will however work on other computers.</w:t>
            </w:r>
          </w:p>
        </w:tc>
      </w:tr>
    </w:tbl>
    <w:p w:rsidR="00236943" w:rsidRDefault="00236943"/>
    <w:sectPr w:rsidR="002369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36943"/>
    <w:rsid w:val="00236943"/>
    <w:rsid w:val="0062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obbygamedev.com/" TargetMode="External"/><Relationship Id="rId5" Type="http://schemas.openxmlformats.org/officeDocument/2006/relationships/hyperlink" Target="http://www.hobbygamedev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3711</Characters>
  <Application>Microsoft Office Word</Application>
  <DocSecurity>0</DocSecurity>
  <Lines>30</Lines>
  <Paragraphs>8</Paragraphs>
  <ScaleCrop>false</ScaleCrop>
  <Company>WRDSB</Company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WRDSB</cp:lastModifiedBy>
  <cp:revision>2</cp:revision>
  <dcterms:created xsi:type="dcterms:W3CDTF">2016-01-22T17:20:00Z</dcterms:created>
  <dcterms:modified xsi:type="dcterms:W3CDTF">2016-01-22T17:20:00Z</dcterms:modified>
</cp:coreProperties>
</file>