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E949" w14:textId="03F859DD" w:rsidR="00BC669B" w:rsidRDefault="00C9676D">
      <w:r>
        <w:t xml:space="preserve">Homework for Chapter </w:t>
      </w:r>
      <w:r w:rsidR="00F61B28">
        <w:t>1</w:t>
      </w:r>
      <w:r w:rsidR="00E25258">
        <w:t>7</w:t>
      </w:r>
      <w:r w:rsidR="0046497D">
        <w:t xml:space="preserve">: </w:t>
      </w:r>
      <w:r w:rsidR="00E25258">
        <w:t>Event Studies</w:t>
      </w:r>
    </w:p>
    <w:p w14:paraId="2FB9626E" w14:textId="5B353F4B" w:rsidR="00EF05CA" w:rsidRPr="00EF05CA" w:rsidRDefault="00EF05CA">
      <w:pPr>
        <w:rPr>
          <w:i/>
          <w:iCs/>
        </w:rPr>
      </w:pPr>
      <w:r>
        <w:rPr>
          <w:i/>
          <w:iCs/>
        </w:rPr>
        <w:t>How Does It Work?</w:t>
      </w:r>
    </w:p>
    <w:p w14:paraId="458A76DF" w14:textId="39A7FFD2" w:rsidR="00C9023D" w:rsidRDefault="00BD3526" w:rsidP="00C9023D">
      <w:pPr>
        <w:pStyle w:val="ListParagraph"/>
        <w:numPr>
          <w:ilvl w:val="0"/>
          <w:numId w:val="3"/>
        </w:numPr>
      </w:pPr>
      <w:r>
        <w:t xml:space="preserve">The Berlin Wall, which divided </w:t>
      </w:r>
      <w:r w:rsidR="00C46BD6">
        <w:t>West Berlin from Soviet East Berlin, fell in</w:t>
      </w:r>
      <w:r w:rsidR="00132C5F">
        <w:t xml:space="preserve"> late</w:t>
      </w:r>
      <w:r w:rsidR="00C46BD6">
        <w:t xml:space="preserve"> 1989. You suspect that the fall might hav</w:t>
      </w:r>
      <w:r w:rsidR="00CF397F">
        <w:t xml:space="preserve">e reduced the number of villains in Hollywood movies who were Soviets or communists. However, </w:t>
      </w:r>
      <w:r w:rsidR="008564A5">
        <w:t>you look at the number of Soviet or communist villains in Hollywood movies leading up to 1989 and notice that the number had already been dropping.</w:t>
      </w:r>
      <w:r w:rsidR="00132C5F">
        <w:t xml:space="preserve"> What will happen if you use an event study </w:t>
      </w:r>
      <w:r w:rsidR="00520744">
        <w:t xml:space="preserve">to look at the effect of the Berlin Wall on </w:t>
      </w:r>
      <w:r w:rsidR="008541DB">
        <w:t xml:space="preserve">Soviet villains and </w:t>
      </w:r>
      <w:r w:rsidR="008541DB">
        <w:rPr>
          <w:i/>
          <w:iCs/>
        </w:rPr>
        <w:t>don’t</w:t>
      </w:r>
      <w:r w:rsidR="008541DB">
        <w:t xml:space="preserve"> account for the time trend?</w:t>
      </w:r>
    </w:p>
    <w:p w14:paraId="4CAAC8AA" w14:textId="418FD0F8" w:rsidR="008541DB" w:rsidRDefault="008541DB" w:rsidP="008541DB">
      <w:pPr>
        <w:pStyle w:val="ListParagraph"/>
        <w:numPr>
          <w:ilvl w:val="1"/>
          <w:numId w:val="3"/>
        </w:numPr>
      </w:pPr>
      <w:r>
        <w:t xml:space="preserve">You will </w:t>
      </w:r>
      <w:r w:rsidR="00606FFD">
        <w:t>estimate that the wall falling had a bigger impact than it actually did</w:t>
      </w:r>
    </w:p>
    <w:p w14:paraId="7D0DFC9E" w14:textId="3BBF1105" w:rsidR="008541DB" w:rsidRDefault="008541DB" w:rsidP="00606FFD">
      <w:pPr>
        <w:pStyle w:val="ListParagraph"/>
        <w:numPr>
          <w:ilvl w:val="1"/>
          <w:numId w:val="3"/>
        </w:numPr>
      </w:pPr>
      <w:r>
        <w:t xml:space="preserve">You will </w:t>
      </w:r>
      <w:r w:rsidR="00606FFD">
        <w:t>estimate that the wall falling had a smaller impact than it actually did</w:t>
      </w:r>
    </w:p>
    <w:p w14:paraId="2BFCCA41" w14:textId="69C5648B" w:rsidR="005C1E58" w:rsidRDefault="005C1E58" w:rsidP="00606FFD">
      <w:pPr>
        <w:pStyle w:val="ListParagraph"/>
        <w:numPr>
          <w:ilvl w:val="1"/>
          <w:numId w:val="3"/>
        </w:numPr>
      </w:pPr>
      <w:r>
        <w:t>You will produce an estimate that is, on average, the true effect</w:t>
      </w:r>
    </w:p>
    <w:p w14:paraId="71713038" w14:textId="7513346F" w:rsidR="00606FFD" w:rsidRDefault="00606FFD" w:rsidP="008541DB">
      <w:pPr>
        <w:pStyle w:val="ListParagraph"/>
        <w:numPr>
          <w:ilvl w:val="1"/>
          <w:numId w:val="3"/>
        </w:numPr>
      </w:pPr>
      <w:r>
        <w:t>You will, on average, get the true effect, but only if you account for the average rate of villains before the wall fell</w:t>
      </w:r>
    </w:p>
    <w:p w14:paraId="5DE20702" w14:textId="4E759F0A" w:rsidR="008541DB" w:rsidRDefault="008541DB" w:rsidP="008541DB">
      <w:pPr>
        <w:pStyle w:val="ListParagraph"/>
        <w:numPr>
          <w:ilvl w:val="1"/>
          <w:numId w:val="3"/>
        </w:numPr>
      </w:pPr>
      <w:r>
        <w:t>There’s no way to tell</w:t>
      </w:r>
    </w:p>
    <w:p w14:paraId="27B4C6F8" w14:textId="4D400C97" w:rsidR="00B8590C" w:rsidRDefault="00A90675" w:rsidP="00A90675">
      <w:pPr>
        <w:pStyle w:val="ListParagraph"/>
        <w:numPr>
          <w:ilvl w:val="0"/>
          <w:numId w:val="3"/>
        </w:numPr>
      </w:pPr>
      <w:r>
        <w:t>Describe an event study you might run, and what you’d want to see in the data, that would justify estimating the effect by simply comparing</w:t>
      </w:r>
      <w:r w:rsidR="00B8590C">
        <w:t xml:space="preserve"> the average outcome before the event to the average afterwards, ignoring the Time back door</w:t>
      </w:r>
      <w:r>
        <w:t>.</w:t>
      </w:r>
      <w:r>
        <w:tab/>
      </w:r>
    </w:p>
    <w:p w14:paraId="4FE7F4C0" w14:textId="7929765F" w:rsidR="00C03065" w:rsidRDefault="00AD5CA8" w:rsidP="001E5CF8">
      <w:pPr>
        <w:pStyle w:val="ListParagraph"/>
        <w:numPr>
          <w:ilvl w:val="0"/>
          <w:numId w:val="3"/>
        </w:numPr>
      </w:pPr>
      <w:r>
        <w:t xml:space="preserve">“Approach 3” in the chapter, where we estimate relationships before the event and then </w:t>
      </w:r>
      <w:r w:rsidR="009446FD">
        <w:t xml:space="preserve">use that information to help predict the counterfactual outcome afterwards, seems too hard. Can’t we just estimate a time trend and stop there? </w:t>
      </w:r>
      <w:r w:rsidR="00A83ED6">
        <w:br/>
      </w:r>
      <w:r w:rsidR="00A83ED6">
        <w:br/>
      </w:r>
      <w:r w:rsidR="00C00B8A">
        <w:t xml:space="preserve">Imagine a company releases a worse-than-expected financial report, and you want to know the effect of that report on its stock price. However, this report also came out just </w:t>
      </w:r>
      <w:r w:rsidR="007430AA">
        <w:t xml:space="preserve">one day before a stock market crash. What </w:t>
      </w:r>
      <w:r w:rsidR="00E862F3">
        <w:t>would our event study get wrong if we only use a time trend that would be fixed by the use of Approach 3 instead?</w:t>
      </w:r>
    </w:p>
    <w:p w14:paraId="7A6B3B78" w14:textId="00540542" w:rsidR="004B58F1" w:rsidRDefault="00F15836" w:rsidP="001E5CF8">
      <w:pPr>
        <w:pStyle w:val="ListParagraph"/>
        <w:numPr>
          <w:ilvl w:val="0"/>
          <w:numId w:val="3"/>
        </w:numPr>
      </w:pPr>
      <w:r>
        <w:t xml:space="preserve">Why does </w:t>
      </w:r>
      <w:r w:rsidR="00420460">
        <w:t xml:space="preserve">running an event study on a </w:t>
      </w:r>
      <w:r w:rsidR="00420460">
        <w:rPr>
          <w:i/>
          <w:iCs/>
        </w:rPr>
        <w:t>very very small time window</w:t>
      </w:r>
      <w:r w:rsidR="00420460">
        <w:t xml:space="preserve"> help justify ignoring the Time back door?</w:t>
      </w:r>
    </w:p>
    <w:p w14:paraId="325A7112" w14:textId="02E308A6" w:rsidR="00420460" w:rsidRDefault="00420460" w:rsidP="00420460">
      <w:pPr>
        <w:pStyle w:val="ListParagraph"/>
        <w:numPr>
          <w:ilvl w:val="1"/>
          <w:numId w:val="3"/>
        </w:numPr>
      </w:pPr>
      <w:r>
        <w:t xml:space="preserve">Because </w:t>
      </w:r>
      <w:r w:rsidR="00E31F1F">
        <w:t xml:space="preserve">by limiting the number of time periods to a very small number it allows you to </w:t>
      </w:r>
      <w:r w:rsidR="007537C6">
        <w:t>feasibly control for every time period</w:t>
      </w:r>
    </w:p>
    <w:p w14:paraId="425B68DC" w14:textId="645FB590" w:rsidR="00420460" w:rsidRDefault="007537C6" w:rsidP="00420460">
      <w:pPr>
        <w:pStyle w:val="ListParagraph"/>
        <w:numPr>
          <w:ilvl w:val="1"/>
          <w:numId w:val="3"/>
        </w:numPr>
      </w:pPr>
      <w:r>
        <w:t>Because time trends are easier to estimate and thus control for when using a short time window</w:t>
      </w:r>
    </w:p>
    <w:p w14:paraId="41A20A84" w14:textId="36521732" w:rsidR="00420460" w:rsidRDefault="00420460" w:rsidP="00420460">
      <w:pPr>
        <w:pStyle w:val="ListParagraph"/>
        <w:numPr>
          <w:ilvl w:val="1"/>
          <w:numId w:val="3"/>
        </w:numPr>
      </w:pPr>
      <w:r>
        <w:t>Because any trend in the data is unlikely to show up on such a short time scale</w:t>
      </w:r>
    </w:p>
    <w:p w14:paraId="0650A7D8" w14:textId="58D95D46" w:rsidR="008B15BB" w:rsidRDefault="008B15BB" w:rsidP="00420460">
      <w:pPr>
        <w:pStyle w:val="ListParagraph"/>
        <w:numPr>
          <w:ilvl w:val="1"/>
          <w:numId w:val="3"/>
        </w:numPr>
      </w:pPr>
      <w:r>
        <w:t>It doesn’t</w:t>
      </w:r>
    </w:p>
    <w:p w14:paraId="0C03D226" w14:textId="77777777" w:rsidR="001E5CF8" w:rsidRDefault="001E5CF8" w:rsidP="001E5CF8">
      <w:r w:rsidRPr="001E5CF8">
        <w:rPr>
          <w:i/>
          <w:iCs/>
        </w:rPr>
        <w:t>How is it Performed?</w:t>
      </w:r>
      <w:r>
        <w:t xml:space="preserve"> </w:t>
      </w:r>
    </w:p>
    <w:p w14:paraId="3B359514" w14:textId="06C3FF2C" w:rsidR="00D95F51" w:rsidRDefault="00D40910" w:rsidP="00C9023D">
      <w:pPr>
        <w:pStyle w:val="ListParagraph"/>
        <w:numPr>
          <w:ilvl w:val="0"/>
          <w:numId w:val="5"/>
        </w:numPr>
      </w:pPr>
      <w:r>
        <w:t xml:space="preserve">Imagine you have calculated the </w:t>
      </w:r>
      <w:r w:rsidR="00142A61">
        <w:t xml:space="preserve">abnormal return </w:t>
      </w:r>
      <w:r w:rsidR="00037021">
        <w:t xml:space="preserve">for Stock X </w:t>
      </w:r>
      <w:r w:rsidR="00142A61">
        <w:t xml:space="preserve">using the means-adjusted, market-adjusted, and risk-adjusted models. You look at the values and find that, </w:t>
      </w:r>
      <w:r w:rsidR="00CF10A7">
        <w:t>about two weeks after your event, the means-adjusted abnormal return jumps way up, but the market-adjusted and risk-adjusted models stay flat. What can you infer from this?</w:t>
      </w:r>
    </w:p>
    <w:p w14:paraId="7D3320CA" w14:textId="16F77B5E" w:rsidR="00CF10A7" w:rsidRDefault="007F261E" w:rsidP="00CF10A7">
      <w:pPr>
        <w:pStyle w:val="ListParagraph"/>
        <w:numPr>
          <w:ilvl w:val="1"/>
          <w:numId w:val="5"/>
        </w:numPr>
      </w:pPr>
      <w:r>
        <w:t>The market as a whole jumps up two weeks after the event.</w:t>
      </w:r>
    </w:p>
    <w:p w14:paraId="2F448331" w14:textId="060294E5" w:rsidR="007F261E" w:rsidRDefault="007F261E" w:rsidP="00CF10A7">
      <w:pPr>
        <w:pStyle w:val="ListParagraph"/>
        <w:numPr>
          <w:ilvl w:val="1"/>
          <w:numId w:val="5"/>
        </w:numPr>
      </w:pPr>
      <w:r>
        <w:t>The market as a whole drops down two weeks after the event.</w:t>
      </w:r>
    </w:p>
    <w:p w14:paraId="2C16C1ED" w14:textId="74417E4F" w:rsidR="007F261E" w:rsidRDefault="003A22C6" w:rsidP="00CF10A7">
      <w:pPr>
        <w:pStyle w:val="ListParagraph"/>
        <w:numPr>
          <w:ilvl w:val="1"/>
          <w:numId w:val="5"/>
        </w:numPr>
      </w:pPr>
      <w:r>
        <w:t>The price of Stock X in the leadup to the event was trending upwards</w:t>
      </w:r>
      <w:r w:rsidR="00F005A6">
        <w:t>.</w:t>
      </w:r>
    </w:p>
    <w:p w14:paraId="473EF8F4" w14:textId="31E8C514" w:rsidR="007F261E" w:rsidRDefault="003A22C6" w:rsidP="00CF10A7">
      <w:pPr>
        <w:pStyle w:val="ListParagraph"/>
        <w:numPr>
          <w:ilvl w:val="1"/>
          <w:numId w:val="5"/>
        </w:numPr>
      </w:pPr>
      <w:r>
        <w:t>The price of Stock X in the leadup to the event was trending downwards</w:t>
      </w:r>
      <w:r w:rsidR="00F005A6">
        <w:t>.</w:t>
      </w:r>
    </w:p>
    <w:p w14:paraId="2FD51DC4" w14:textId="7E047EFF" w:rsidR="007F261E" w:rsidRDefault="00037021" w:rsidP="00CF10A7">
      <w:pPr>
        <w:pStyle w:val="ListParagraph"/>
        <w:numPr>
          <w:ilvl w:val="1"/>
          <w:numId w:val="5"/>
        </w:numPr>
      </w:pPr>
      <w:r>
        <w:lastRenderedPageBreak/>
        <w:t>The event significantly increased Stock X’s return two weeks after the event.</w:t>
      </w:r>
    </w:p>
    <w:p w14:paraId="0D890562" w14:textId="1E5B9D34" w:rsidR="00037021" w:rsidRDefault="00037021" w:rsidP="00CF10A7">
      <w:pPr>
        <w:pStyle w:val="ListParagraph"/>
        <w:numPr>
          <w:ilvl w:val="1"/>
          <w:numId w:val="5"/>
        </w:numPr>
      </w:pPr>
      <w:r>
        <w:t>The event significantly decreased Stock X’s return two weeks after the event.</w:t>
      </w:r>
    </w:p>
    <w:p w14:paraId="48A2C224" w14:textId="392A3A70" w:rsidR="00A8646F" w:rsidRDefault="00FC5C9B" w:rsidP="00C9023D">
      <w:pPr>
        <w:pStyle w:val="ListParagraph"/>
        <w:numPr>
          <w:ilvl w:val="0"/>
          <w:numId w:val="5"/>
        </w:numPr>
      </w:pPr>
      <w:r>
        <w:t xml:space="preserve">Consider the below table of </w:t>
      </w:r>
      <w:r w:rsidR="00790FBE">
        <w:t>returns for Stock X</w:t>
      </w:r>
      <w:r w:rsidR="00A8646F">
        <w:t xml:space="preserve"> and for the market as a whole.</w:t>
      </w:r>
      <w:r w:rsidR="00B26D20">
        <w:t xml:space="preserve"> Consider days -2 and -1 as the “estimation” period and days 0 and 1 as the “observation” period.</w:t>
      </w:r>
      <w:r w:rsidR="00A8646F">
        <w:br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1800"/>
      </w:tblGrid>
      <w:tr w:rsidR="00A8646F" w14:paraId="78027D9E" w14:textId="77777777" w:rsidTr="00CC3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</w:tcPr>
          <w:p w14:paraId="3AD4039E" w14:textId="689497D2" w:rsidR="00A8646F" w:rsidRDefault="00CC37DF" w:rsidP="00A8646F">
            <w:pPr>
              <w:pStyle w:val="ListParagraph"/>
              <w:ind w:left="0"/>
            </w:pPr>
            <w:r>
              <w:t>Days to Event</w:t>
            </w:r>
          </w:p>
        </w:tc>
        <w:tc>
          <w:tcPr>
            <w:tcW w:w="1710" w:type="dxa"/>
          </w:tcPr>
          <w:p w14:paraId="729BAAAC" w14:textId="2FD4E403" w:rsidR="00A8646F" w:rsidRDefault="00CC37DF" w:rsidP="00A8646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Stock X Return</w:t>
            </w:r>
          </w:p>
        </w:tc>
        <w:tc>
          <w:tcPr>
            <w:tcW w:w="1800" w:type="dxa"/>
          </w:tcPr>
          <w:p w14:paraId="58EF865D" w14:textId="0045204B" w:rsidR="00A8646F" w:rsidRDefault="00CC37DF" w:rsidP="00CC3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Return</w:t>
            </w:r>
          </w:p>
        </w:tc>
      </w:tr>
      <w:tr w:rsidR="00A8646F" w14:paraId="4B4979A0" w14:textId="77777777" w:rsidTr="00CC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299FC74" w14:textId="5F923301" w:rsidR="00A8646F" w:rsidRDefault="00CC37DF" w:rsidP="00A8646F">
            <w:pPr>
              <w:pStyle w:val="ListParagraph"/>
              <w:ind w:left="0"/>
            </w:pPr>
            <w:r>
              <w:t>-2</w:t>
            </w:r>
          </w:p>
        </w:tc>
        <w:tc>
          <w:tcPr>
            <w:tcW w:w="1710" w:type="dxa"/>
          </w:tcPr>
          <w:p w14:paraId="3876B0E7" w14:textId="30C97D1B" w:rsidR="00A8646F" w:rsidRDefault="00CC37DF" w:rsidP="00A864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.01</w:t>
            </w:r>
          </w:p>
        </w:tc>
        <w:tc>
          <w:tcPr>
            <w:tcW w:w="1800" w:type="dxa"/>
          </w:tcPr>
          <w:p w14:paraId="3C6D61B0" w14:textId="1E88DFB5" w:rsidR="00A8646F" w:rsidRDefault="00090D18" w:rsidP="00A864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.01</w:t>
            </w:r>
          </w:p>
        </w:tc>
      </w:tr>
      <w:tr w:rsidR="00A8646F" w14:paraId="06585030" w14:textId="77777777" w:rsidTr="00CC3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CCBBD0D" w14:textId="63C5C17B" w:rsidR="00A8646F" w:rsidRDefault="00CC37DF" w:rsidP="00A8646F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1710" w:type="dxa"/>
          </w:tcPr>
          <w:p w14:paraId="0F2071F8" w14:textId="3AF18DF8" w:rsidR="00A8646F" w:rsidRDefault="00CC37DF" w:rsidP="00A864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-.02</w:t>
            </w:r>
          </w:p>
        </w:tc>
        <w:tc>
          <w:tcPr>
            <w:tcW w:w="1800" w:type="dxa"/>
          </w:tcPr>
          <w:p w14:paraId="6AC0ED31" w14:textId="2CC1E9AB" w:rsidR="00A8646F" w:rsidRDefault="00090D18" w:rsidP="00A864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-.01</w:t>
            </w:r>
          </w:p>
        </w:tc>
      </w:tr>
      <w:tr w:rsidR="00A8646F" w14:paraId="456F7BE5" w14:textId="77777777" w:rsidTr="00CC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508FDAF" w14:textId="349C8990" w:rsidR="00A8646F" w:rsidRDefault="00CC37DF" w:rsidP="00A8646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10" w:type="dxa"/>
          </w:tcPr>
          <w:p w14:paraId="44F8D78C" w14:textId="5B9FABCA" w:rsidR="00A8646F" w:rsidRDefault="00090D18" w:rsidP="00A864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.03</w:t>
            </w:r>
          </w:p>
        </w:tc>
        <w:tc>
          <w:tcPr>
            <w:tcW w:w="1800" w:type="dxa"/>
          </w:tcPr>
          <w:p w14:paraId="1971FFD0" w14:textId="0231B577" w:rsidR="00A8646F" w:rsidRDefault="00090D18" w:rsidP="00A864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.02</w:t>
            </w:r>
          </w:p>
        </w:tc>
      </w:tr>
      <w:tr w:rsidR="00A8646F" w14:paraId="446A829B" w14:textId="77777777" w:rsidTr="00CC3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0F0D5E8" w14:textId="74563925" w:rsidR="00A8646F" w:rsidRDefault="00CC37DF" w:rsidP="00A864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10" w:type="dxa"/>
          </w:tcPr>
          <w:p w14:paraId="124B1DB2" w14:textId="2E9CFB05" w:rsidR="00A8646F" w:rsidRDefault="00090D18" w:rsidP="0009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.02</w:t>
            </w:r>
          </w:p>
        </w:tc>
        <w:tc>
          <w:tcPr>
            <w:tcW w:w="1800" w:type="dxa"/>
          </w:tcPr>
          <w:p w14:paraId="66BEE52B" w14:textId="42703B82" w:rsidR="00A8646F" w:rsidRDefault="00090D18" w:rsidP="00A864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-.0</w:t>
            </w:r>
            <w:r w:rsidR="00B26D20">
              <w:t>1</w:t>
            </w:r>
          </w:p>
        </w:tc>
      </w:tr>
    </w:tbl>
    <w:p w14:paraId="062AB345" w14:textId="280E4B3B" w:rsidR="000C7C01" w:rsidRDefault="00546A2C" w:rsidP="00B26D20">
      <w:pPr>
        <w:pStyle w:val="ListParagraph"/>
        <w:numPr>
          <w:ilvl w:val="1"/>
          <w:numId w:val="5"/>
        </w:numPr>
      </w:pPr>
      <w:r>
        <w:t>Calculate the abnormal return for Stock X for day 0 and day 1 using the means-adjusted returns model.</w:t>
      </w:r>
    </w:p>
    <w:p w14:paraId="1F2CE6BC" w14:textId="25C22F22" w:rsidR="00E37409" w:rsidRDefault="00E37409" w:rsidP="00E37409">
      <w:pPr>
        <w:pStyle w:val="ListParagraph"/>
        <w:numPr>
          <w:ilvl w:val="1"/>
          <w:numId w:val="5"/>
        </w:numPr>
      </w:pPr>
      <w:r>
        <w:t>Calculate the abnormal return for Stock X for day 0 and day 1 using the m</w:t>
      </w:r>
      <w:r>
        <w:t>arket</w:t>
      </w:r>
      <w:r>
        <w:t>-adjusted returns model.</w:t>
      </w:r>
    </w:p>
    <w:p w14:paraId="4768EBDA" w14:textId="0DA0110D" w:rsidR="00E37409" w:rsidRDefault="00215456" w:rsidP="00B26D20">
      <w:pPr>
        <w:pStyle w:val="ListParagraph"/>
        <w:numPr>
          <w:ilvl w:val="1"/>
          <w:numId w:val="5"/>
        </w:numPr>
      </w:pPr>
      <w:r>
        <w:t xml:space="preserve">You use a longer window of data than you have here to estimate the OLS model </w:t>
      </w:r>
      <m:oMath>
        <m:r>
          <w:rPr>
            <w:rFonts w:ascii="Cambria Math" w:hAnsi="Cambria Math"/>
          </w:rPr>
          <m:t xml:space="preserve">StockXReturn= </m:t>
        </m:r>
        <m:r>
          <w:rPr>
            <w:rFonts w:ascii="Cambria Math" w:hAnsi="Cambria Math"/>
          </w:rPr>
          <m:t>.001+ .75*MarketReturn</m:t>
        </m:r>
      </m:oMath>
      <w:r w:rsidR="00070AAE">
        <w:rPr>
          <w:rFonts w:eastAsiaTheme="minorEastAsia"/>
        </w:rPr>
        <w:t>. Calculate the abnormal return for Stock X for day 0 and day 1 using the risk-adjusted returns model.</w:t>
      </w:r>
    </w:p>
    <w:p w14:paraId="158CA13F" w14:textId="3765B673" w:rsidR="00BF2BA3" w:rsidRDefault="00A0233F" w:rsidP="00C9023D">
      <w:pPr>
        <w:pStyle w:val="ListParagraph"/>
        <w:numPr>
          <w:ilvl w:val="0"/>
          <w:numId w:val="5"/>
        </w:numPr>
      </w:pPr>
      <w:r>
        <w:t>One of the downsides of using a</w:t>
      </w:r>
      <w:r w:rsidR="00171688">
        <w:t xml:space="preserve">n interaction term/segmented regression approach to estimating an event study design is that you’ll get the estimate wrong if you pick the wrong </w:t>
      </w:r>
      <w:r w:rsidR="00E86AF7">
        <w:t>shape to fit. Explain why we can’t just solve this problem by picking a super-flexible shape, like a polynomial with a really high order.</w:t>
      </w:r>
    </w:p>
    <w:p w14:paraId="3C9778F3" w14:textId="65D23337" w:rsidR="008144CD" w:rsidRPr="001E7DEB" w:rsidRDefault="006154C9" w:rsidP="00C9023D">
      <w:pPr>
        <w:pStyle w:val="ListParagraph"/>
        <w:numPr>
          <w:ilvl w:val="0"/>
          <w:numId w:val="5"/>
        </w:numPr>
      </w:pPr>
      <w:r>
        <w:t xml:space="preserve">You estimate a linear </w:t>
      </w:r>
      <w:r w:rsidR="00E06195">
        <w:t xml:space="preserve">segmented regression model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After+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After×t+ε</m:t>
        </m:r>
      </m:oMath>
      <w:r w:rsidR="00E06195">
        <w:rPr>
          <w:rFonts w:eastAsiaTheme="minorEastAsia"/>
        </w:rPr>
        <w:t xml:space="preserve">, where the event occurs at </w:t>
      </w:r>
      <m:oMath>
        <m:r>
          <w:rPr>
            <w:rFonts w:ascii="Cambria Math" w:eastAsiaTheme="minorEastAsia" w:hAnsi="Cambria Math"/>
          </w:rPr>
          <m:t>t=0</m:t>
        </m:r>
      </m:oMath>
      <w:r w:rsidR="00E06195">
        <w:rPr>
          <w:rFonts w:eastAsiaTheme="minorEastAsia"/>
        </w:rPr>
        <w:t xml:space="preserve">. </w:t>
      </w:r>
    </w:p>
    <w:p w14:paraId="4C03B081" w14:textId="46560202" w:rsidR="001E7DEB" w:rsidRPr="00004AF8" w:rsidRDefault="00004AF8" w:rsidP="001E7DE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Write a one-sentence interpretation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coefficient.</w:t>
      </w:r>
    </w:p>
    <w:p w14:paraId="6C97E55C" w14:textId="2F1A6D68" w:rsidR="00004AF8" w:rsidRPr="00004AF8" w:rsidRDefault="00004AF8" w:rsidP="001E7DE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Write a one-sentence interpretation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coefficient.</w:t>
      </w:r>
    </w:p>
    <w:p w14:paraId="23E3EE66" w14:textId="40C2467B" w:rsidR="00004AF8" w:rsidRPr="00004AF8" w:rsidRDefault="00004AF8" w:rsidP="001E7DE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Write a one-sentence interpretation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coefficient.</w:t>
      </w:r>
    </w:p>
    <w:p w14:paraId="7816BCAA" w14:textId="3182B885" w:rsidR="00004AF8" w:rsidRDefault="00004AF8" w:rsidP="001E7DE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Which coefficient represents our estimated event study effect?</w:t>
      </w:r>
    </w:p>
    <w:p w14:paraId="5C0ECAF0" w14:textId="0A14548D" w:rsidR="00D95F51" w:rsidRDefault="00D95F51" w:rsidP="00D95F51">
      <w:r>
        <w:t>Coding (which includes any how-the-pros-do-it questions)</w:t>
      </w:r>
    </w:p>
    <w:sectPr w:rsidR="00D9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D7B3" w14:textId="77777777" w:rsidR="0044795D" w:rsidRDefault="0044795D" w:rsidP="001E109C">
      <w:pPr>
        <w:spacing w:after="0" w:line="240" w:lineRule="auto"/>
      </w:pPr>
      <w:r>
        <w:separator/>
      </w:r>
    </w:p>
  </w:endnote>
  <w:endnote w:type="continuationSeparator" w:id="0">
    <w:p w14:paraId="6EBFA5A9" w14:textId="77777777" w:rsidR="0044795D" w:rsidRDefault="0044795D" w:rsidP="001E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478E5" w14:textId="77777777" w:rsidR="0044795D" w:rsidRDefault="0044795D" w:rsidP="001E109C">
      <w:pPr>
        <w:spacing w:after="0" w:line="240" w:lineRule="auto"/>
      </w:pPr>
      <w:r>
        <w:separator/>
      </w:r>
    </w:p>
  </w:footnote>
  <w:footnote w:type="continuationSeparator" w:id="0">
    <w:p w14:paraId="72525099" w14:textId="77777777" w:rsidR="0044795D" w:rsidRDefault="0044795D" w:rsidP="001E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BC5"/>
    <w:multiLevelType w:val="hybridMultilevel"/>
    <w:tmpl w:val="FD1A9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499F"/>
    <w:multiLevelType w:val="hybridMultilevel"/>
    <w:tmpl w:val="2B8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2582"/>
    <w:multiLevelType w:val="hybridMultilevel"/>
    <w:tmpl w:val="BF9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320F4"/>
    <w:multiLevelType w:val="hybridMultilevel"/>
    <w:tmpl w:val="09BCE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81BF2"/>
    <w:multiLevelType w:val="hybridMultilevel"/>
    <w:tmpl w:val="A56C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004AF8"/>
    <w:rsid w:val="0001284C"/>
    <w:rsid w:val="00014E80"/>
    <w:rsid w:val="00015A0F"/>
    <w:rsid w:val="00022A6D"/>
    <w:rsid w:val="000303FA"/>
    <w:rsid w:val="00037021"/>
    <w:rsid w:val="00037AD7"/>
    <w:rsid w:val="00046582"/>
    <w:rsid w:val="000517D9"/>
    <w:rsid w:val="000555A8"/>
    <w:rsid w:val="0006457F"/>
    <w:rsid w:val="0006630D"/>
    <w:rsid w:val="000705D7"/>
    <w:rsid w:val="00070AAE"/>
    <w:rsid w:val="000738D4"/>
    <w:rsid w:val="000744B1"/>
    <w:rsid w:val="00074782"/>
    <w:rsid w:val="00086E4B"/>
    <w:rsid w:val="00090D18"/>
    <w:rsid w:val="00094097"/>
    <w:rsid w:val="000A715C"/>
    <w:rsid w:val="000B1DDD"/>
    <w:rsid w:val="000B29B3"/>
    <w:rsid w:val="000C7536"/>
    <w:rsid w:val="000C7C01"/>
    <w:rsid w:val="000D4140"/>
    <w:rsid w:val="000E1D46"/>
    <w:rsid w:val="000F06F3"/>
    <w:rsid w:val="0010233C"/>
    <w:rsid w:val="00110DF9"/>
    <w:rsid w:val="0011272E"/>
    <w:rsid w:val="00130564"/>
    <w:rsid w:val="00132C5F"/>
    <w:rsid w:val="00133F3F"/>
    <w:rsid w:val="00142A61"/>
    <w:rsid w:val="001444AA"/>
    <w:rsid w:val="0014539B"/>
    <w:rsid w:val="00151B5B"/>
    <w:rsid w:val="00151B6F"/>
    <w:rsid w:val="00152F6C"/>
    <w:rsid w:val="00153FA1"/>
    <w:rsid w:val="00171292"/>
    <w:rsid w:val="00171688"/>
    <w:rsid w:val="00175596"/>
    <w:rsid w:val="0019021E"/>
    <w:rsid w:val="001A0D25"/>
    <w:rsid w:val="001A5266"/>
    <w:rsid w:val="001B3C30"/>
    <w:rsid w:val="001D3060"/>
    <w:rsid w:val="001E109C"/>
    <w:rsid w:val="001E333B"/>
    <w:rsid w:val="001E44C8"/>
    <w:rsid w:val="001E5371"/>
    <w:rsid w:val="001E5CF8"/>
    <w:rsid w:val="001E750A"/>
    <w:rsid w:val="001E7DEB"/>
    <w:rsid w:val="001F1039"/>
    <w:rsid w:val="001F6E7D"/>
    <w:rsid w:val="00202625"/>
    <w:rsid w:val="00203FFD"/>
    <w:rsid w:val="00215456"/>
    <w:rsid w:val="00215810"/>
    <w:rsid w:val="00215E66"/>
    <w:rsid w:val="00217805"/>
    <w:rsid w:val="002179BE"/>
    <w:rsid w:val="00226C35"/>
    <w:rsid w:val="002572A7"/>
    <w:rsid w:val="00271E9D"/>
    <w:rsid w:val="00274D07"/>
    <w:rsid w:val="0029317D"/>
    <w:rsid w:val="002A7732"/>
    <w:rsid w:val="002C1F94"/>
    <w:rsid w:val="002C43DA"/>
    <w:rsid w:val="002C63F2"/>
    <w:rsid w:val="002E512F"/>
    <w:rsid w:val="002E6724"/>
    <w:rsid w:val="002E7F43"/>
    <w:rsid w:val="002F0C25"/>
    <w:rsid w:val="002F7ECA"/>
    <w:rsid w:val="003042C4"/>
    <w:rsid w:val="00305729"/>
    <w:rsid w:val="00340D39"/>
    <w:rsid w:val="003473D4"/>
    <w:rsid w:val="00356C40"/>
    <w:rsid w:val="00373B38"/>
    <w:rsid w:val="003754D9"/>
    <w:rsid w:val="003A1DCB"/>
    <w:rsid w:val="003A22C6"/>
    <w:rsid w:val="003A4CA5"/>
    <w:rsid w:val="003A4E49"/>
    <w:rsid w:val="003C152C"/>
    <w:rsid w:val="003C62D2"/>
    <w:rsid w:val="003D484B"/>
    <w:rsid w:val="003E3452"/>
    <w:rsid w:val="003E491D"/>
    <w:rsid w:val="003F48B9"/>
    <w:rsid w:val="003F520A"/>
    <w:rsid w:val="00403E2E"/>
    <w:rsid w:val="00406DCE"/>
    <w:rsid w:val="00412B58"/>
    <w:rsid w:val="004156D1"/>
    <w:rsid w:val="00420460"/>
    <w:rsid w:val="0043185C"/>
    <w:rsid w:val="00445B34"/>
    <w:rsid w:val="0044795D"/>
    <w:rsid w:val="00450FD6"/>
    <w:rsid w:val="00461944"/>
    <w:rsid w:val="0046497D"/>
    <w:rsid w:val="00470425"/>
    <w:rsid w:val="00473496"/>
    <w:rsid w:val="0047528A"/>
    <w:rsid w:val="00475654"/>
    <w:rsid w:val="004927C4"/>
    <w:rsid w:val="00494826"/>
    <w:rsid w:val="004A33AE"/>
    <w:rsid w:val="004B3375"/>
    <w:rsid w:val="004B58F1"/>
    <w:rsid w:val="004D1D1B"/>
    <w:rsid w:val="004D36B5"/>
    <w:rsid w:val="004E19BB"/>
    <w:rsid w:val="004E54E4"/>
    <w:rsid w:val="004E59BD"/>
    <w:rsid w:val="004F2AB5"/>
    <w:rsid w:val="004F42D1"/>
    <w:rsid w:val="004F676D"/>
    <w:rsid w:val="00514266"/>
    <w:rsid w:val="005156CB"/>
    <w:rsid w:val="0051691C"/>
    <w:rsid w:val="005201EE"/>
    <w:rsid w:val="00520744"/>
    <w:rsid w:val="0052131D"/>
    <w:rsid w:val="00521E54"/>
    <w:rsid w:val="005237D8"/>
    <w:rsid w:val="005307CB"/>
    <w:rsid w:val="00536B04"/>
    <w:rsid w:val="00546A2C"/>
    <w:rsid w:val="00551054"/>
    <w:rsid w:val="00555B60"/>
    <w:rsid w:val="00561706"/>
    <w:rsid w:val="00562727"/>
    <w:rsid w:val="00565079"/>
    <w:rsid w:val="005723F2"/>
    <w:rsid w:val="00576215"/>
    <w:rsid w:val="00576D4B"/>
    <w:rsid w:val="005A5B04"/>
    <w:rsid w:val="005A6261"/>
    <w:rsid w:val="005C1E58"/>
    <w:rsid w:val="005C24A9"/>
    <w:rsid w:val="005C5AEB"/>
    <w:rsid w:val="005D139E"/>
    <w:rsid w:val="005E31E8"/>
    <w:rsid w:val="005F15F2"/>
    <w:rsid w:val="006065A6"/>
    <w:rsid w:val="00606FFD"/>
    <w:rsid w:val="0060713B"/>
    <w:rsid w:val="00611754"/>
    <w:rsid w:val="00612722"/>
    <w:rsid w:val="006154C9"/>
    <w:rsid w:val="00625BAA"/>
    <w:rsid w:val="0062669A"/>
    <w:rsid w:val="00630EA6"/>
    <w:rsid w:val="00637009"/>
    <w:rsid w:val="00647D2C"/>
    <w:rsid w:val="0067152F"/>
    <w:rsid w:val="00671BC1"/>
    <w:rsid w:val="006754D9"/>
    <w:rsid w:val="00680C05"/>
    <w:rsid w:val="00687DAA"/>
    <w:rsid w:val="00690BA2"/>
    <w:rsid w:val="00694C82"/>
    <w:rsid w:val="006A2967"/>
    <w:rsid w:val="006B2346"/>
    <w:rsid w:val="006B57D0"/>
    <w:rsid w:val="006B77BC"/>
    <w:rsid w:val="006C5EE9"/>
    <w:rsid w:val="006D201D"/>
    <w:rsid w:val="006D2DE4"/>
    <w:rsid w:val="006E0778"/>
    <w:rsid w:val="006E0CED"/>
    <w:rsid w:val="006E2903"/>
    <w:rsid w:val="006E6963"/>
    <w:rsid w:val="006F4370"/>
    <w:rsid w:val="00703477"/>
    <w:rsid w:val="007052F1"/>
    <w:rsid w:val="00706209"/>
    <w:rsid w:val="00725B1C"/>
    <w:rsid w:val="007430AA"/>
    <w:rsid w:val="00743968"/>
    <w:rsid w:val="007442C7"/>
    <w:rsid w:val="007523DF"/>
    <w:rsid w:val="007537C6"/>
    <w:rsid w:val="00755A47"/>
    <w:rsid w:val="00757555"/>
    <w:rsid w:val="00774BBF"/>
    <w:rsid w:val="00776FBD"/>
    <w:rsid w:val="0077741F"/>
    <w:rsid w:val="00777D93"/>
    <w:rsid w:val="0078030F"/>
    <w:rsid w:val="00783C3F"/>
    <w:rsid w:val="00790FBE"/>
    <w:rsid w:val="00791109"/>
    <w:rsid w:val="00797DEC"/>
    <w:rsid w:val="007A4F96"/>
    <w:rsid w:val="007C1C27"/>
    <w:rsid w:val="007D4538"/>
    <w:rsid w:val="007E399C"/>
    <w:rsid w:val="007E4A32"/>
    <w:rsid w:val="007F1062"/>
    <w:rsid w:val="007F261E"/>
    <w:rsid w:val="00800B99"/>
    <w:rsid w:val="0080232B"/>
    <w:rsid w:val="0080457E"/>
    <w:rsid w:val="008078C7"/>
    <w:rsid w:val="0081114C"/>
    <w:rsid w:val="008144CD"/>
    <w:rsid w:val="0081703F"/>
    <w:rsid w:val="00817971"/>
    <w:rsid w:val="00842EB1"/>
    <w:rsid w:val="008462D2"/>
    <w:rsid w:val="008541DB"/>
    <w:rsid w:val="008564A5"/>
    <w:rsid w:val="00856D93"/>
    <w:rsid w:val="00866788"/>
    <w:rsid w:val="00880F50"/>
    <w:rsid w:val="008838B0"/>
    <w:rsid w:val="00890701"/>
    <w:rsid w:val="00893501"/>
    <w:rsid w:val="008A096A"/>
    <w:rsid w:val="008A43DB"/>
    <w:rsid w:val="008A45F4"/>
    <w:rsid w:val="008A4B9A"/>
    <w:rsid w:val="008B15BB"/>
    <w:rsid w:val="008B3788"/>
    <w:rsid w:val="008B68AB"/>
    <w:rsid w:val="008B774E"/>
    <w:rsid w:val="008C1449"/>
    <w:rsid w:val="008C26DB"/>
    <w:rsid w:val="008C497F"/>
    <w:rsid w:val="008C5F76"/>
    <w:rsid w:val="008D2BCF"/>
    <w:rsid w:val="008E55A6"/>
    <w:rsid w:val="008F17A6"/>
    <w:rsid w:val="00905238"/>
    <w:rsid w:val="009058A2"/>
    <w:rsid w:val="00912CD8"/>
    <w:rsid w:val="00915094"/>
    <w:rsid w:val="00920E4B"/>
    <w:rsid w:val="00931957"/>
    <w:rsid w:val="009426E3"/>
    <w:rsid w:val="00942E94"/>
    <w:rsid w:val="009446FD"/>
    <w:rsid w:val="00945880"/>
    <w:rsid w:val="009536E3"/>
    <w:rsid w:val="0095377B"/>
    <w:rsid w:val="00960F79"/>
    <w:rsid w:val="0096449F"/>
    <w:rsid w:val="0098364F"/>
    <w:rsid w:val="009960B8"/>
    <w:rsid w:val="009A2965"/>
    <w:rsid w:val="009B30A4"/>
    <w:rsid w:val="009B7F6F"/>
    <w:rsid w:val="009C0466"/>
    <w:rsid w:val="009C4FA9"/>
    <w:rsid w:val="009D6689"/>
    <w:rsid w:val="009E3439"/>
    <w:rsid w:val="009F6911"/>
    <w:rsid w:val="00A0233F"/>
    <w:rsid w:val="00A03917"/>
    <w:rsid w:val="00A05D90"/>
    <w:rsid w:val="00A11548"/>
    <w:rsid w:val="00A15798"/>
    <w:rsid w:val="00A23560"/>
    <w:rsid w:val="00A25B50"/>
    <w:rsid w:val="00A375A7"/>
    <w:rsid w:val="00A50D3C"/>
    <w:rsid w:val="00A5156D"/>
    <w:rsid w:val="00A51F3A"/>
    <w:rsid w:val="00A61ADB"/>
    <w:rsid w:val="00A61B91"/>
    <w:rsid w:val="00A670B0"/>
    <w:rsid w:val="00A77DC3"/>
    <w:rsid w:val="00A8252D"/>
    <w:rsid w:val="00A83ED6"/>
    <w:rsid w:val="00A8540B"/>
    <w:rsid w:val="00A85EB0"/>
    <w:rsid w:val="00A8646F"/>
    <w:rsid w:val="00A86E99"/>
    <w:rsid w:val="00A90675"/>
    <w:rsid w:val="00A95DFD"/>
    <w:rsid w:val="00AA4289"/>
    <w:rsid w:val="00AB0AF0"/>
    <w:rsid w:val="00AB264B"/>
    <w:rsid w:val="00AB4A69"/>
    <w:rsid w:val="00AB54DF"/>
    <w:rsid w:val="00AD0A33"/>
    <w:rsid w:val="00AD5CA8"/>
    <w:rsid w:val="00AE109C"/>
    <w:rsid w:val="00AF23B0"/>
    <w:rsid w:val="00B21387"/>
    <w:rsid w:val="00B234C5"/>
    <w:rsid w:val="00B258B9"/>
    <w:rsid w:val="00B26D20"/>
    <w:rsid w:val="00B33198"/>
    <w:rsid w:val="00B4654A"/>
    <w:rsid w:val="00B51D40"/>
    <w:rsid w:val="00B8590C"/>
    <w:rsid w:val="00B953BB"/>
    <w:rsid w:val="00BA57E2"/>
    <w:rsid w:val="00BA7BDC"/>
    <w:rsid w:val="00BB00FC"/>
    <w:rsid w:val="00BB6502"/>
    <w:rsid w:val="00BC181B"/>
    <w:rsid w:val="00BC669B"/>
    <w:rsid w:val="00BD15D1"/>
    <w:rsid w:val="00BD3526"/>
    <w:rsid w:val="00BD4F81"/>
    <w:rsid w:val="00BF2BA3"/>
    <w:rsid w:val="00BF5EB5"/>
    <w:rsid w:val="00C00B8A"/>
    <w:rsid w:val="00C02E89"/>
    <w:rsid w:val="00C03065"/>
    <w:rsid w:val="00C03FC2"/>
    <w:rsid w:val="00C109FE"/>
    <w:rsid w:val="00C15CEF"/>
    <w:rsid w:val="00C21282"/>
    <w:rsid w:val="00C23253"/>
    <w:rsid w:val="00C24870"/>
    <w:rsid w:val="00C25816"/>
    <w:rsid w:val="00C26B6A"/>
    <w:rsid w:val="00C27394"/>
    <w:rsid w:val="00C371AA"/>
    <w:rsid w:val="00C46994"/>
    <w:rsid w:val="00C46BD6"/>
    <w:rsid w:val="00C5239B"/>
    <w:rsid w:val="00C73E4B"/>
    <w:rsid w:val="00C823B5"/>
    <w:rsid w:val="00C84FF9"/>
    <w:rsid w:val="00C9023D"/>
    <w:rsid w:val="00C91135"/>
    <w:rsid w:val="00C920DD"/>
    <w:rsid w:val="00C95458"/>
    <w:rsid w:val="00C954D7"/>
    <w:rsid w:val="00C9676D"/>
    <w:rsid w:val="00C976AD"/>
    <w:rsid w:val="00CA11DD"/>
    <w:rsid w:val="00CB26DA"/>
    <w:rsid w:val="00CC37DF"/>
    <w:rsid w:val="00CC7E5D"/>
    <w:rsid w:val="00CD4880"/>
    <w:rsid w:val="00CE0F49"/>
    <w:rsid w:val="00CE30BC"/>
    <w:rsid w:val="00CE5C4F"/>
    <w:rsid w:val="00CF10A7"/>
    <w:rsid w:val="00CF397F"/>
    <w:rsid w:val="00D00C64"/>
    <w:rsid w:val="00D02911"/>
    <w:rsid w:val="00D065AB"/>
    <w:rsid w:val="00D1218F"/>
    <w:rsid w:val="00D12832"/>
    <w:rsid w:val="00D1455A"/>
    <w:rsid w:val="00D361BD"/>
    <w:rsid w:val="00D40910"/>
    <w:rsid w:val="00D43118"/>
    <w:rsid w:val="00D44985"/>
    <w:rsid w:val="00D4617E"/>
    <w:rsid w:val="00D4715C"/>
    <w:rsid w:val="00D4784D"/>
    <w:rsid w:val="00D50946"/>
    <w:rsid w:val="00D54C03"/>
    <w:rsid w:val="00D9501C"/>
    <w:rsid w:val="00D95F51"/>
    <w:rsid w:val="00DB0866"/>
    <w:rsid w:val="00DD2135"/>
    <w:rsid w:val="00DD4E31"/>
    <w:rsid w:val="00DD5450"/>
    <w:rsid w:val="00DE05FB"/>
    <w:rsid w:val="00DE2078"/>
    <w:rsid w:val="00DE2AA3"/>
    <w:rsid w:val="00DE4197"/>
    <w:rsid w:val="00DE79D6"/>
    <w:rsid w:val="00DF73D5"/>
    <w:rsid w:val="00DF7FE2"/>
    <w:rsid w:val="00E00F8E"/>
    <w:rsid w:val="00E052A9"/>
    <w:rsid w:val="00E06195"/>
    <w:rsid w:val="00E11F5C"/>
    <w:rsid w:val="00E14CF8"/>
    <w:rsid w:val="00E25258"/>
    <w:rsid w:val="00E31F1F"/>
    <w:rsid w:val="00E34584"/>
    <w:rsid w:val="00E34C71"/>
    <w:rsid w:val="00E37409"/>
    <w:rsid w:val="00E37807"/>
    <w:rsid w:val="00E44F86"/>
    <w:rsid w:val="00E44FDB"/>
    <w:rsid w:val="00E46E2C"/>
    <w:rsid w:val="00E47DD6"/>
    <w:rsid w:val="00E53D46"/>
    <w:rsid w:val="00E61E5E"/>
    <w:rsid w:val="00E66619"/>
    <w:rsid w:val="00E66FB9"/>
    <w:rsid w:val="00E847CC"/>
    <w:rsid w:val="00E862F3"/>
    <w:rsid w:val="00E86AF7"/>
    <w:rsid w:val="00E86E26"/>
    <w:rsid w:val="00E91C90"/>
    <w:rsid w:val="00E95B7E"/>
    <w:rsid w:val="00E971B1"/>
    <w:rsid w:val="00E972E1"/>
    <w:rsid w:val="00EA3E13"/>
    <w:rsid w:val="00EB4E5E"/>
    <w:rsid w:val="00EB5ED0"/>
    <w:rsid w:val="00EB68A3"/>
    <w:rsid w:val="00EC28B0"/>
    <w:rsid w:val="00ED29CF"/>
    <w:rsid w:val="00ED52CE"/>
    <w:rsid w:val="00EE1DD6"/>
    <w:rsid w:val="00EE504C"/>
    <w:rsid w:val="00EF05CA"/>
    <w:rsid w:val="00EF1476"/>
    <w:rsid w:val="00EF45A3"/>
    <w:rsid w:val="00F005A6"/>
    <w:rsid w:val="00F0485D"/>
    <w:rsid w:val="00F0485F"/>
    <w:rsid w:val="00F15836"/>
    <w:rsid w:val="00F25241"/>
    <w:rsid w:val="00F27EC5"/>
    <w:rsid w:val="00F3012E"/>
    <w:rsid w:val="00F32C68"/>
    <w:rsid w:val="00F456C0"/>
    <w:rsid w:val="00F45EB5"/>
    <w:rsid w:val="00F53262"/>
    <w:rsid w:val="00F56640"/>
    <w:rsid w:val="00F61B28"/>
    <w:rsid w:val="00F636A9"/>
    <w:rsid w:val="00F66840"/>
    <w:rsid w:val="00F67906"/>
    <w:rsid w:val="00F73073"/>
    <w:rsid w:val="00F90FAB"/>
    <w:rsid w:val="00F978B5"/>
    <w:rsid w:val="00FA0AE0"/>
    <w:rsid w:val="00FA24B8"/>
    <w:rsid w:val="00FB2ED0"/>
    <w:rsid w:val="00FC5C9B"/>
    <w:rsid w:val="00FD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  <w:style w:type="table" w:styleId="TableGrid">
    <w:name w:val="Table Grid"/>
    <w:basedOn w:val="TableNormal"/>
    <w:uiPriority w:val="39"/>
    <w:rsid w:val="00D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3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6272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10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10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109C"/>
    <w:rPr>
      <w:vertAlign w:val="superscript"/>
    </w:rPr>
  </w:style>
  <w:style w:type="table" w:styleId="PlainTable3">
    <w:name w:val="Plain Table 3"/>
    <w:basedOn w:val="TableNormal"/>
    <w:uiPriority w:val="43"/>
    <w:rsid w:val="007E39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E39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9F3B4-6F3A-4B08-A54F-9466E738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Huntington-Klein, Nicholas</cp:lastModifiedBy>
  <cp:revision>436</cp:revision>
  <dcterms:created xsi:type="dcterms:W3CDTF">2021-08-07T04:26:00Z</dcterms:created>
  <dcterms:modified xsi:type="dcterms:W3CDTF">2021-10-08T21:57:00Z</dcterms:modified>
</cp:coreProperties>
</file>